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Subtitle"/>
        <w:ind w:right="0"/>
        <w:jc w:val="right"/>
        <w:rPr>
          <w:rFonts w:ascii="Verdana" w:hAnsi="Verdana"/>
          <w:sz w:val="20"/>
          <w:szCs w:val="20"/>
        </w:rPr>
      </w:pPr>
      <w:bookmarkStart w:id="0" w:name="_GoBack"/>
      <w:bookmarkEnd w:id="0"/>
      <w:r>
        <w:rPr>
          <w:rFonts w:ascii="Verdana" w:hAnsi="Verdana"/>
          <w:sz w:val="20"/>
          <w:szCs w:val="20"/>
        </w:rPr>
        <w:t>ANEXA NR. 3</w:t>
      </w:r>
    </w:p>
    <w:p>
      <w:pPr>
        <w:pStyle w:val="Subtitle"/>
        <w:ind w:right="0"/>
        <w:jc w:val="center"/>
        <w:rPr>
          <w:rFonts w:ascii="Verdana" w:hAnsi="Verdana"/>
          <w:sz w:val="20"/>
          <w:szCs w:val="20"/>
        </w:rPr>
      </w:pPr>
      <w:r>
        <w:rPr>
          <w:rFonts w:ascii="Verdana" w:hAnsi="Verdana"/>
          <w:sz w:val="20"/>
          <w:szCs w:val="20"/>
        </w:rPr>
        <w:t>ACORD CONTRACTUAL</w:t>
      </w:r>
    </w:p>
    <w:p>
      <w:pPr>
        <w:pStyle w:val="Subtitle"/>
        <w:ind w:right="0"/>
        <w:jc w:val="center"/>
        <w:rPr>
          <w:rFonts w:ascii="Verdana" w:hAnsi="Verdana"/>
          <w:sz w:val="20"/>
          <w:szCs w:val="20"/>
        </w:rPr>
      </w:pPr>
      <w:r>
        <w:rPr>
          <w:rFonts w:ascii="Verdana" w:hAnsi="Verdana"/>
          <w:sz w:val="20"/>
          <w:szCs w:val="20"/>
        </w:rPr>
        <w:t xml:space="preserve">CONTRACTUL DE PROIECTARE- EXECUȚIE - OPERARE </w:t>
      </w:r>
    </w:p>
    <w:p>
      <w:pPr>
        <w:pStyle w:val="Subtitle"/>
        <w:ind w:right="0"/>
        <w:jc w:val="center"/>
        <w:rPr>
          <w:rFonts w:ascii="Verdana" w:hAnsi="Verdana"/>
          <w:sz w:val="20"/>
          <w:szCs w:val="20"/>
        </w:rPr>
      </w:pPr>
      <w:r>
        <w:rPr>
          <w:rFonts w:ascii="Verdana" w:hAnsi="Verdana"/>
          <w:color w:val="000000" w:themeColor="text1"/>
          <w:sz w:val="20"/>
          <w:szCs w:val="20"/>
        </w:rPr>
        <w:t>STAȚIE de tratare mecano-biologică CU DIGESTIE ANAEROBĂ ȘI RECUPERARE DE ENERGIE și stație de transfer Galați</w:t>
      </w:r>
    </w:p>
    <w:p>
      <w:pPr>
        <w:pStyle w:val="Subtitle"/>
        <w:rPr>
          <w:rFonts w:ascii="Verdana" w:hAnsi="Verdana"/>
          <w:sz w:val="20"/>
          <w:szCs w:val="20"/>
        </w:rPr>
      </w:pPr>
    </w:p>
    <w:p>
      <w:pPr>
        <w:pStyle w:val="Heading2"/>
        <w:numPr>
          <w:ilvl w:val="0"/>
          <w:numId w:val="0"/>
        </w:numPr>
        <w:rPr>
          <w:rFonts w:ascii="Verdana" w:hAnsi="Verdana"/>
          <w:szCs w:val="20"/>
        </w:rPr>
      </w:pPr>
      <w:r>
        <w:rPr>
          <w:rFonts w:ascii="Verdana" w:hAnsi="Verdana"/>
          <w:szCs w:val="20"/>
        </w:rPr>
        <w:t xml:space="preserve">Prezentul Acord Contractual se încheie între: </w:t>
      </w:r>
    </w:p>
    <w:p>
      <w:pPr>
        <w:pStyle w:val="Heading2"/>
        <w:numPr>
          <w:ilvl w:val="0"/>
          <w:numId w:val="0"/>
        </w:numPr>
        <w:rPr>
          <w:rFonts w:ascii="Verdana" w:hAnsi="Verdana"/>
          <w:szCs w:val="20"/>
        </w:rPr>
      </w:pPr>
      <w:r>
        <w:rPr>
          <w:rFonts w:ascii="Verdana" w:hAnsi="Verdana"/>
          <w:szCs w:val="20"/>
        </w:rPr>
        <w:t>__________________, persoană juridică română cu sediul în _________ _____________ ___________ ______________________, România, înregistrată la Registrul Comerțului sub nr. __________________________________, Cod Unic de Înregistrare ____________________, atribut fiscal __, cont bancar nr. ____________________________________________ deschis la _______________________________ - Sucursala ____________________, număr cont TVA ___________________________________, legal reprezentată prin ……………………, (denumită în continuare "</w:t>
      </w:r>
      <w:r>
        <w:rPr>
          <w:rFonts w:ascii="Verdana" w:hAnsi="Verdana"/>
          <w:b/>
          <w:bCs w:val="0"/>
          <w:szCs w:val="20"/>
        </w:rPr>
        <w:t>Beneficiar</w:t>
      </w:r>
      <w:r>
        <w:rPr>
          <w:rFonts w:ascii="Verdana" w:hAnsi="Verdana"/>
          <w:szCs w:val="20"/>
        </w:rPr>
        <w:t xml:space="preserve">"), pe de o parte, </w:t>
      </w:r>
    </w:p>
    <w:p>
      <w:pPr>
        <w:pStyle w:val="Heading2"/>
        <w:numPr>
          <w:ilvl w:val="0"/>
          <w:numId w:val="0"/>
        </w:numPr>
        <w:rPr>
          <w:rFonts w:ascii="Verdana" w:hAnsi="Verdana"/>
          <w:szCs w:val="20"/>
        </w:rPr>
      </w:pPr>
      <w:r>
        <w:rPr>
          <w:rFonts w:ascii="Verdana" w:hAnsi="Verdana"/>
          <w:szCs w:val="20"/>
        </w:rPr>
        <w:t>și</w:t>
      </w:r>
    </w:p>
    <w:p>
      <w:pPr>
        <w:pStyle w:val="Heading2"/>
        <w:numPr>
          <w:ilvl w:val="0"/>
          <w:numId w:val="0"/>
        </w:numPr>
        <w:rPr>
          <w:rFonts w:ascii="Verdana" w:hAnsi="Verdana"/>
          <w:szCs w:val="20"/>
        </w:rPr>
      </w:pPr>
      <w:r>
        <w:rPr>
          <w:rFonts w:ascii="Verdana" w:hAnsi="Verdana"/>
          <w:szCs w:val="20"/>
        </w:rPr>
        <w:t xml:space="preserve"> __________________, persoană juridică ______ cu sediul în _________ _____________ ___________ ______________________, înregistrată la ______________ sub nr. __________________________________, ____________________, atribut fiscal __, cont bancar nr. ____________________________________________ deschis la _______________________________ - Sucursala ____________________, număr cont TVA ___________________________________, legal reprezentată prin ……………………, (denumită în continuare (denumit în continuare "</w:t>
      </w:r>
      <w:r>
        <w:rPr>
          <w:rFonts w:ascii="Verdana" w:hAnsi="Verdana"/>
          <w:b/>
          <w:bCs w:val="0"/>
          <w:szCs w:val="20"/>
        </w:rPr>
        <w:t>Antreprenor</w:t>
      </w:r>
      <w:r>
        <w:rPr>
          <w:rFonts w:ascii="Verdana" w:hAnsi="Verdana"/>
          <w:szCs w:val="20"/>
        </w:rPr>
        <w:t xml:space="preserve">"), de cealaltă parte, </w:t>
      </w:r>
    </w:p>
    <w:p>
      <w:pPr>
        <w:pStyle w:val="Heading2"/>
        <w:numPr>
          <w:ilvl w:val="0"/>
          <w:numId w:val="0"/>
        </w:numPr>
        <w:rPr>
          <w:rFonts w:ascii="Verdana" w:hAnsi="Verdana"/>
          <w:szCs w:val="20"/>
        </w:rPr>
      </w:pPr>
      <w:r>
        <w:rPr>
          <w:rFonts w:ascii="Verdana" w:hAnsi="Verdana"/>
          <w:szCs w:val="20"/>
        </w:rPr>
        <w:t>(denumite în continuare "</w:t>
      </w:r>
      <w:r>
        <w:rPr>
          <w:rFonts w:ascii="Verdana" w:hAnsi="Verdana"/>
          <w:b/>
          <w:bCs w:val="0"/>
          <w:szCs w:val="20"/>
        </w:rPr>
        <w:t>Părțile</w:t>
      </w:r>
      <w:r>
        <w:rPr>
          <w:rFonts w:ascii="Verdana" w:hAnsi="Verdana"/>
          <w:szCs w:val="20"/>
        </w:rPr>
        <w:t>"),</w:t>
      </w:r>
    </w:p>
    <w:p>
      <w:pPr>
        <w:pStyle w:val="Heading2"/>
        <w:numPr>
          <w:ilvl w:val="0"/>
          <w:numId w:val="0"/>
        </w:numPr>
        <w:rPr>
          <w:rFonts w:ascii="Verdana" w:hAnsi="Verdana"/>
          <w:szCs w:val="20"/>
        </w:rPr>
      </w:pPr>
      <w:r>
        <w:rPr>
          <w:rFonts w:ascii="Verdana" w:hAnsi="Verdana"/>
          <w:szCs w:val="20"/>
        </w:rPr>
        <w:t xml:space="preserve">având în vedere că Beneficiarul a convenit, conform raportului procedurii de atribuire a contractului de achiziție publică nr. ........................, ca Lucrările cunoscute sub numele de: </w:t>
      </w:r>
      <w:bookmarkStart w:id="1" w:name="_Hlk101962470"/>
      <w:r>
        <w:rPr>
          <w:rFonts w:ascii="Verdana" w:hAnsi="Verdana"/>
          <w:i/>
          <w:iCs w:val="0"/>
          <w:szCs w:val="20"/>
        </w:rPr>
        <w:t>”Stație de tratare mecano-biologică cu digestie anaerobă și recuperare de energie și stație de transfer Galați”</w:t>
      </w:r>
      <w:r>
        <w:rPr>
          <w:rFonts w:ascii="Verdana" w:hAnsi="Verdana"/>
          <w:szCs w:val="20"/>
        </w:rPr>
        <w:t xml:space="preserve"> </w:t>
      </w:r>
      <w:r>
        <w:rPr>
          <w:rFonts w:ascii="Verdana" w:hAnsi="Verdana"/>
          <w:iCs w:val="0"/>
          <w:szCs w:val="20"/>
        </w:rPr>
        <w:t>din cadrul proiectului</w:t>
      </w:r>
      <w:r>
        <w:rPr>
          <w:rFonts w:ascii="Verdana" w:hAnsi="Verdana"/>
          <w:i/>
          <w:iCs w:val="0"/>
          <w:szCs w:val="20"/>
        </w:rPr>
        <w:t xml:space="preserve"> ”Sistem de Management Integrat al Deșeurilor în județul Galați-Etapa II”</w:t>
      </w:r>
      <w:r>
        <w:rPr>
          <w:rFonts w:ascii="Verdana" w:hAnsi="Verdana"/>
          <w:szCs w:val="20"/>
        </w:rPr>
        <w:t xml:space="preserve"> </w:t>
      </w:r>
      <w:bookmarkEnd w:id="1"/>
      <w:r>
        <w:rPr>
          <w:rFonts w:ascii="Verdana" w:hAnsi="Verdana"/>
          <w:szCs w:val="20"/>
        </w:rPr>
        <w:t>(</w:t>
      </w:r>
      <w:bookmarkStart w:id="2" w:name="_Hlk93331779"/>
      <w:r>
        <w:rPr>
          <w:rFonts w:ascii="Verdana" w:hAnsi="Verdana"/>
          <w:szCs w:val="20"/>
        </w:rPr>
        <w:t>denumite în continuare “</w:t>
      </w:r>
      <w:r>
        <w:rPr>
          <w:rFonts w:ascii="Verdana" w:hAnsi="Verdana"/>
          <w:b/>
          <w:bCs w:val="0"/>
          <w:szCs w:val="20"/>
        </w:rPr>
        <w:t>Lucrările</w:t>
      </w:r>
      <w:r>
        <w:rPr>
          <w:rFonts w:ascii="Verdana" w:hAnsi="Verdana"/>
          <w:szCs w:val="20"/>
        </w:rPr>
        <w:t>”</w:t>
      </w:r>
      <w:bookmarkEnd w:id="2"/>
      <w:r>
        <w:rPr>
          <w:rFonts w:ascii="Verdana" w:hAnsi="Verdana"/>
          <w:szCs w:val="20"/>
        </w:rPr>
        <w:t>) să fie proiectate, executate și operate de Antreprenor și a acceptat oferta Antreprenorului în vederea proiectării, executării și finalizării Lucrărilor, precum și operării și întreținerii Lucrărilor (denumite în continuare "</w:t>
      </w:r>
      <w:r>
        <w:rPr>
          <w:rFonts w:ascii="Verdana" w:hAnsi="Verdana"/>
          <w:b/>
          <w:bCs w:val="0"/>
          <w:szCs w:val="20"/>
        </w:rPr>
        <w:t>Serviciile de Operare</w:t>
      </w:r>
      <w:r>
        <w:rPr>
          <w:rFonts w:ascii="Verdana" w:hAnsi="Verdana"/>
          <w:szCs w:val="20"/>
        </w:rPr>
        <w:t xml:space="preserve">"), inclusiv remedierii oricăror eventuale defecțiuni ale Lucrărilor, </w:t>
      </w:r>
    </w:p>
    <w:p>
      <w:pPr>
        <w:pStyle w:val="Heading2"/>
        <w:numPr>
          <w:ilvl w:val="0"/>
          <w:numId w:val="0"/>
        </w:numPr>
        <w:rPr>
          <w:rFonts w:ascii="Verdana" w:hAnsi="Verdana"/>
          <w:szCs w:val="20"/>
        </w:rPr>
      </w:pPr>
      <w:r>
        <w:rPr>
          <w:rFonts w:ascii="Verdana" w:hAnsi="Verdana"/>
          <w:szCs w:val="20"/>
        </w:rPr>
        <w:t>Părțile convin după cum urmează:</w:t>
      </w:r>
    </w:p>
    <w:p>
      <w:pPr>
        <w:pStyle w:val="Heading1"/>
        <w:tabs>
          <w:tab w:val="clear" w:pos="851"/>
        </w:tabs>
        <w:ind w:left="450" w:hanging="450"/>
        <w:rPr>
          <w:rFonts w:ascii="Verdana" w:hAnsi="Verdana"/>
          <w:b w:val="0"/>
          <w:bCs w:val="0"/>
          <w:sz w:val="20"/>
          <w:szCs w:val="20"/>
        </w:rPr>
      </w:pPr>
      <w:r>
        <w:rPr>
          <w:rFonts w:ascii="Verdana" w:hAnsi="Verdana"/>
          <w:b w:val="0"/>
          <w:bCs w:val="0"/>
          <w:sz w:val="20"/>
          <w:szCs w:val="20"/>
        </w:rPr>
        <w:lastRenderedPageBreak/>
        <w:t>În prezentul Acord Contractual, termenii și expresiile vor avea același înțeles ca și în Condițiile de Contract la care se face referire în continuare.</w:t>
      </w:r>
    </w:p>
    <w:p>
      <w:pPr>
        <w:pStyle w:val="Heading1"/>
        <w:tabs>
          <w:tab w:val="clear" w:pos="851"/>
        </w:tabs>
        <w:ind w:left="450" w:hanging="450"/>
        <w:jc w:val="both"/>
        <w:rPr>
          <w:rFonts w:ascii="Verdana" w:hAnsi="Verdana"/>
          <w:b w:val="0"/>
          <w:bCs w:val="0"/>
          <w:sz w:val="20"/>
          <w:szCs w:val="20"/>
        </w:rPr>
      </w:pPr>
      <w:r>
        <w:rPr>
          <w:rFonts w:ascii="Verdana" w:hAnsi="Verdana"/>
          <w:b w:val="0"/>
          <w:bCs w:val="0"/>
          <w:sz w:val="20"/>
          <w:szCs w:val="20"/>
        </w:rPr>
        <w:t>Contractul are un caracter de contract administrativ și include prezentul Acord Contractual împreună cu orice Act Adițional și următoarele anexe:</w:t>
      </w:r>
    </w:p>
    <w:p>
      <w:pPr>
        <w:pStyle w:val="Heading2"/>
        <w:numPr>
          <w:ilvl w:val="0"/>
          <w:numId w:val="25"/>
        </w:numPr>
        <w:rPr>
          <w:rFonts w:ascii="Verdana" w:hAnsi="Verdana"/>
          <w:b/>
          <w:bCs w:val="0"/>
          <w:i/>
          <w:iCs w:val="0"/>
          <w:szCs w:val="20"/>
        </w:rPr>
      </w:pPr>
      <w:r>
        <w:rPr>
          <w:rFonts w:ascii="Verdana" w:hAnsi="Verdana"/>
          <w:b/>
          <w:bCs w:val="0"/>
          <w:i/>
          <w:iCs w:val="0"/>
          <w:szCs w:val="20"/>
        </w:rPr>
        <w:t xml:space="preserve">Formularul de Ofertă completat și după caz corectat, </w:t>
      </w:r>
    </w:p>
    <w:p>
      <w:pPr>
        <w:pStyle w:val="Heading2"/>
        <w:numPr>
          <w:ilvl w:val="0"/>
          <w:numId w:val="25"/>
        </w:numPr>
        <w:rPr>
          <w:rFonts w:ascii="Verdana" w:hAnsi="Verdana"/>
          <w:b/>
          <w:bCs w:val="0"/>
          <w:i/>
          <w:iCs w:val="0"/>
          <w:szCs w:val="20"/>
        </w:rPr>
      </w:pPr>
      <w:r>
        <w:rPr>
          <w:rFonts w:ascii="Verdana" w:hAnsi="Verdana"/>
          <w:b/>
          <w:bCs w:val="0"/>
          <w:i/>
          <w:iCs w:val="0"/>
          <w:szCs w:val="20"/>
        </w:rPr>
        <w:t xml:space="preserve">Condițiile Specifice, </w:t>
      </w:r>
    </w:p>
    <w:p>
      <w:pPr>
        <w:pStyle w:val="Heading2"/>
        <w:numPr>
          <w:ilvl w:val="0"/>
          <w:numId w:val="25"/>
        </w:numPr>
        <w:rPr>
          <w:rFonts w:ascii="Verdana" w:hAnsi="Verdana"/>
          <w:b/>
          <w:bCs w:val="0"/>
          <w:i/>
          <w:iCs w:val="0"/>
          <w:szCs w:val="20"/>
        </w:rPr>
      </w:pPr>
      <w:r>
        <w:rPr>
          <w:rFonts w:ascii="Verdana" w:hAnsi="Verdana"/>
          <w:b/>
          <w:bCs w:val="0"/>
          <w:i/>
          <w:iCs w:val="0"/>
          <w:szCs w:val="20"/>
        </w:rPr>
        <w:t xml:space="preserve">Condițiile Generale, </w:t>
      </w:r>
    </w:p>
    <w:p>
      <w:pPr>
        <w:pStyle w:val="Heading2"/>
        <w:numPr>
          <w:ilvl w:val="0"/>
          <w:numId w:val="25"/>
        </w:numPr>
        <w:rPr>
          <w:rFonts w:ascii="Verdana" w:hAnsi="Verdana"/>
          <w:b/>
          <w:bCs w:val="0"/>
          <w:i/>
          <w:iCs w:val="0"/>
          <w:szCs w:val="20"/>
        </w:rPr>
      </w:pPr>
      <w:r>
        <w:rPr>
          <w:rFonts w:ascii="Verdana" w:hAnsi="Verdana"/>
          <w:b/>
          <w:bCs w:val="0"/>
          <w:i/>
          <w:iCs w:val="0"/>
          <w:szCs w:val="20"/>
        </w:rPr>
        <w:t xml:space="preserve">Cerințele Beneficiarului, </w:t>
      </w:r>
    </w:p>
    <w:p>
      <w:pPr>
        <w:pStyle w:val="Heading2"/>
        <w:numPr>
          <w:ilvl w:val="0"/>
          <w:numId w:val="25"/>
        </w:numPr>
        <w:rPr>
          <w:rFonts w:ascii="Verdana" w:hAnsi="Verdana"/>
          <w:b/>
          <w:bCs w:val="0"/>
          <w:i/>
          <w:iCs w:val="0"/>
          <w:szCs w:val="20"/>
        </w:rPr>
      </w:pPr>
      <w:r>
        <w:rPr>
          <w:rFonts w:ascii="Verdana" w:hAnsi="Verdana"/>
          <w:b/>
          <w:bCs w:val="0"/>
          <w:i/>
          <w:iCs w:val="0"/>
          <w:szCs w:val="20"/>
        </w:rPr>
        <w:t>Regulamentul Serviciului,</w:t>
      </w:r>
    </w:p>
    <w:p>
      <w:pPr>
        <w:pStyle w:val="Heading2"/>
        <w:numPr>
          <w:ilvl w:val="0"/>
          <w:numId w:val="25"/>
        </w:numPr>
        <w:rPr>
          <w:rFonts w:ascii="Verdana" w:hAnsi="Verdana"/>
          <w:b/>
          <w:bCs w:val="0"/>
          <w:i/>
          <w:iCs w:val="0"/>
          <w:szCs w:val="20"/>
        </w:rPr>
      </w:pPr>
      <w:r>
        <w:rPr>
          <w:rFonts w:ascii="Verdana" w:hAnsi="Verdana"/>
          <w:b/>
          <w:bCs w:val="0"/>
          <w:i/>
          <w:iCs w:val="0"/>
          <w:szCs w:val="20"/>
        </w:rPr>
        <w:t>Caietul de Sarcini,</w:t>
      </w:r>
    </w:p>
    <w:p>
      <w:pPr>
        <w:pStyle w:val="Heading2"/>
        <w:numPr>
          <w:ilvl w:val="0"/>
          <w:numId w:val="25"/>
        </w:numPr>
        <w:rPr>
          <w:rFonts w:ascii="Verdana" w:hAnsi="Verdana"/>
          <w:b/>
          <w:bCs w:val="0"/>
          <w:i/>
          <w:iCs w:val="0"/>
          <w:szCs w:val="20"/>
        </w:rPr>
      </w:pPr>
      <w:r>
        <w:rPr>
          <w:rFonts w:ascii="Verdana" w:hAnsi="Verdana"/>
          <w:b/>
          <w:bCs w:val="0"/>
          <w:i/>
          <w:iCs w:val="0"/>
          <w:szCs w:val="20"/>
        </w:rPr>
        <w:t xml:space="preserve">Graficul de Eșalonare a Plăților, </w:t>
      </w:r>
    </w:p>
    <w:p>
      <w:pPr>
        <w:pStyle w:val="Heading2"/>
        <w:numPr>
          <w:ilvl w:val="0"/>
          <w:numId w:val="25"/>
        </w:numPr>
        <w:rPr>
          <w:rFonts w:ascii="Verdana" w:hAnsi="Verdana"/>
          <w:b/>
          <w:bCs w:val="0"/>
          <w:szCs w:val="20"/>
        </w:rPr>
      </w:pPr>
      <w:r>
        <w:rPr>
          <w:rFonts w:ascii="Verdana" w:hAnsi="Verdana"/>
          <w:b/>
          <w:bCs w:val="0"/>
          <w:i/>
          <w:iCs w:val="0"/>
          <w:szCs w:val="20"/>
        </w:rPr>
        <w:t>Oferta Antreprenorului și orice alte documente care fac parte din Contract:</w:t>
      </w:r>
    </w:p>
    <w:p>
      <w:pPr>
        <w:pStyle w:val="Heading2"/>
        <w:numPr>
          <w:ilvl w:val="1"/>
          <w:numId w:val="12"/>
        </w:numPr>
        <w:rPr>
          <w:rFonts w:ascii="Verdana" w:hAnsi="Verdana"/>
          <w:szCs w:val="20"/>
        </w:rPr>
      </w:pPr>
      <w:r>
        <w:rPr>
          <w:rFonts w:ascii="Verdana" w:hAnsi="Verdana"/>
          <w:szCs w:val="20"/>
        </w:rPr>
        <w:t>Oferta financiară a Antreprenorului (după corecțiile aritmetice),</w:t>
      </w:r>
    </w:p>
    <w:p>
      <w:pPr>
        <w:pStyle w:val="Heading2"/>
        <w:numPr>
          <w:ilvl w:val="1"/>
          <w:numId w:val="12"/>
        </w:numPr>
        <w:rPr>
          <w:rFonts w:ascii="Verdana" w:hAnsi="Verdana"/>
          <w:szCs w:val="20"/>
        </w:rPr>
      </w:pPr>
      <w:r>
        <w:rPr>
          <w:rFonts w:ascii="Verdana" w:hAnsi="Verdana"/>
          <w:szCs w:val="20"/>
        </w:rPr>
        <w:t xml:space="preserve">Oferta tehnică a Antreprenorului (inclusiv clarificările din perioada de evaluare a ofertelor), </w:t>
      </w:r>
    </w:p>
    <w:p>
      <w:pPr>
        <w:pStyle w:val="Heading2"/>
        <w:numPr>
          <w:ilvl w:val="1"/>
          <w:numId w:val="12"/>
        </w:numPr>
        <w:rPr>
          <w:rFonts w:ascii="Verdana" w:hAnsi="Verdana"/>
          <w:szCs w:val="20"/>
        </w:rPr>
      </w:pPr>
      <w:r>
        <w:rPr>
          <w:rFonts w:ascii="Verdana" w:hAnsi="Verdana"/>
          <w:szCs w:val="20"/>
        </w:rPr>
        <w:t xml:space="preserve">angajamentul ferm al fiecărui terț susținător (dacă este cazul), </w:t>
      </w:r>
    </w:p>
    <w:p>
      <w:pPr>
        <w:pStyle w:val="Heading2"/>
        <w:numPr>
          <w:ilvl w:val="1"/>
          <w:numId w:val="12"/>
        </w:numPr>
        <w:rPr>
          <w:rFonts w:ascii="Verdana" w:hAnsi="Verdana"/>
          <w:szCs w:val="20"/>
        </w:rPr>
      </w:pPr>
      <w:r>
        <w:rPr>
          <w:rFonts w:ascii="Verdana" w:hAnsi="Verdana"/>
          <w:szCs w:val="20"/>
        </w:rPr>
        <w:t xml:space="preserve">acordul de asociere (în cazul în care Antreprenorul constituie o asociere, un consorțiu sau o altă grupare de două sau mai multe persoane), </w:t>
      </w:r>
    </w:p>
    <w:p>
      <w:pPr>
        <w:pStyle w:val="Heading2"/>
        <w:numPr>
          <w:ilvl w:val="1"/>
          <w:numId w:val="12"/>
        </w:numPr>
        <w:rPr>
          <w:rFonts w:ascii="Verdana" w:hAnsi="Verdana"/>
          <w:szCs w:val="20"/>
        </w:rPr>
      </w:pPr>
      <w:r>
        <w:rPr>
          <w:rFonts w:ascii="Verdana" w:hAnsi="Verdana"/>
          <w:szCs w:val="20"/>
        </w:rPr>
        <w:t xml:space="preserve">subcontractul încheiat cu fiecare Subcontractant (dacă este cazul), </w:t>
      </w:r>
    </w:p>
    <w:p>
      <w:pPr>
        <w:pStyle w:val="Heading2"/>
        <w:numPr>
          <w:ilvl w:val="1"/>
          <w:numId w:val="12"/>
        </w:numPr>
        <w:rPr>
          <w:rFonts w:ascii="Verdana" w:hAnsi="Verdana"/>
          <w:szCs w:val="20"/>
        </w:rPr>
      </w:pPr>
      <w:r>
        <w:rPr>
          <w:rFonts w:ascii="Verdana" w:hAnsi="Verdana"/>
          <w:szCs w:val="20"/>
        </w:rPr>
        <w:t>orice alte documente care fac parte din Contract [</w:t>
      </w:r>
      <w:r>
        <w:rPr>
          <w:rFonts w:ascii="Verdana" w:hAnsi="Verdana"/>
          <w:i/>
          <w:iCs w:val="0"/>
          <w:szCs w:val="20"/>
        </w:rPr>
        <w:t>se vor specifica</w:t>
      </w:r>
      <w:r>
        <w:rPr>
          <w:rFonts w:ascii="Verdana" w:hAnsi="Verdana"/>
          <w:szCs w:val="20"/>
        </w:rPr>
        <w:t>].</w:t>
      </w:r>
    </w:p>
    <w:p>
      <w:pPr>
        <w:pStyle w:val="Heading1"/>
        <w:tabs>
          <w:tab w:val="clear" w:pos="851"/>
        </w:tabs>
        <w:ind w:left="450" w:hanging="450"/>
        <w:jc w:val="both"/>
        <w:rPr>
          <w:rFonts w:ascii="Verdana" w:hAnsi="Verdana"/>
          <w:b w:val="0"/>
          <w:bCs w:val="0"/>
          <w:sz w:val="20"/>
          <w:szCs w:val="20"/>
        </w:rPr>
      </w:pPr>
      <w:r>
        <w:rPr>
          <w:rFonts w:ascii="Verdana" w:hAnsi="Verdana"/>
          <w:b w:val="0"/>
          <w:bCs w:val="0"/>
          <w:sz w:val="20"/>
          <w:szCs w:val="20"/>
        </w:rPr>
        <w:t>Ținând seama de plățile ce urmează a fi efectuate de Beneficiar către Antreprenor după cum este menționat în continuare, Antreprenorul convine cu Beneficiarul să proiecteze, execute și să finalizeze Lucrările cunoscute sub numele de ”</w:t>
      </w:r>
      <w:r>
        <w:rPr>
          <w:rFonts w:ascii="Verdana" w:hAnsi="Verdana"/>
          <w:b w:val="0"/>
          <w:bCs w:val="0"/>
          <w:i/>
          <w:iCs/>
          <w:sz w:val="20"/>
          <w:szCs w:val="20"/>
        </w:rPr>
        <w:t>Stație</w:t>
      </w:r>
      <w:r>
        <w:rPr>
          <w:rFonts w:ascii="Verdana" w:hAnsi="Verdana"/>
          <w:b w:val="0"/>
          <w:bCs w:val="0"/>
          <w:i/>
          <w:sz w:val="20"/>
          <w:szCs w:val="20"/>
        </w:rPr>
        <w:t xml:space="preserve"> de tratare mecano-biologică </w:t>
      </w:r>
      <w:r>
        <w:rPr>
          <w:rFonts w:ascii="Verdana" w:hAnsi="Verdana"/>
          <w:b w:val="0"/>
          <w:bCs w:val="0"/>
          <w:i/>
          <w:iCs/>
          <w:sz w:val="20"/>
          <w:szCs w:val="20"/>
        </w:rPr>
        <w:t xml:space="preserve">cu digestie anaerobă și recuperare de energie </w:t>
      </w:r>
      <w:r>
        <w:rPr>
          <w:rFonts w:ascii="Verdana" w:hAnsi="Verdana"/>
          <w:b w:val="0"/>
          <w:bCs w:val="0"/>
          <w:i/>
          <w:sz w:val="20"/>
          <w:szCs w:val="20"/>
        </w:rPr>
        <w:t>și stație de transfer Galați”</w:t>
      </w:r>
      <w:r>
        <w:rPr>
          <w:rFonts w:ascii="Verdana" w:hAnsi="Verdana"/>
          <w:b w:val="0"/>
          <w:bCs w:val="0"/>
          <w:sz w:val="20"/>
          <w:szCs w:val="20"/>
        </w:rPr>
        <w:t xml:space="preserve"> din cadrul proiectului </w:t>
      </w:r>
      <w:r>
        <w:rPr>
          <w:rFonts w:ascii="Verdana" w:hAnsi="Verdana"/>
          <w:b w:val="0"/>
          <w:bCs w:val="0"/>
          <w:i/>
          <w:sz w:val="20"/>
          <w:szCs w:val="20"/>
        </w:rPr>
        <w:t>”Sistem de Management Integrat al Deșeurilor în județul Galați-Etapa II”</w:t>
      </w:r>
      <w:r>
        <w:rPr>
          <w:rFonts w:ascii="Verdana" w:hAnsi="Verdana"/>
          <w:b w:val="0"/>
          <w:bCs w:val="0"/>
          <w:sz w:val="20"/>
          <w:szCs w:val="20"/>
        </w:rPr>
        <w:t xml:space="preserve">, să presteze Serviciile de Operare și să remedieze orice eventuale defecțiuni ale acestor Lucrări, în conformitate cu prevederile Contractului. </w:t>
      </w:r>
    </w:p>
    <w:p>
      <w:pPr>
        <w:pStyle w:val="Heading1"/>
        <w:tabs>
          <w:tab w:val="clear" w:pos="851"/>
        </w:tabs>
        <w:ind w:left="450" w:hanging="450"/>
        <w:jc w:val="both"/>
        <w:rPr>
          <w:rFonts w:ascii="Verdana" w:hAnsi="Verdana"/>
          <w:b w:val="0"/>
          <w:bCs w:val="0"/>
          <w:sz w:val="20"/>
          <w:szCs w:val="20"/>
        </w:rPr>
      </w:pPr>
      <w:r>
        <w:rPr>
          <w:rFonts w:ascii="Verdana" w:hAnsi="Verdana"/>
          <w:b w:val="0"/>
          <w:bCs w:val="0"/>
          <w:sz w:val="20"/>
          <w:szCs w:val="20"/>
        </w:rPr>
        <w:t xml:space="preserve">Pe durata Perioadei de Operare, Beneficiarii Delegatari vor delega către Antreprenorul Delegat gestiunea activităților specifice serviciului public de salubrizare a localităților, care alcătuiesc Serviciul, așa cum este acesta definit în prezentul Acord Contractual. În consecință, pe durata Perioadei de Operare, Antreprenorul va avea dreptul exclusiv și obligația de a presta Serviciul în Aria Delegării, cu respectarea principiilor </w:t>
      </w:r>
      <w:r>
        <w:rPr>
          <w:rFonts w:ascii="Verdana" w:hAnsi="Verdana"/>
          <w:b w:val="0"/>
          <w:bCs w:val="0"/>
          <w:sz w:val="20"/>
          <w:szCs w:val="20"/>
        </w:rPr>
        <w:lastRenderedPageBreak/>
        <w:t xml:space="preserve">universalității, accesibilității, continuității, adaptabilității și egalității de tratament între Utilizatori. Totodată, pe durata Perioadei de Operare, Beneficiarii Delegatari vor acorda Antreprenorului Delegat dreptul exclusiv de a presta gestiunea activităților specifice serviciului public de salubrizare a localităților care alcătuiesc Aria de Delegare, în conformitate cu dispozițiile art. 9 alin. (1) lit. f) din </w:t>
      </w:r>
      <w:bookmarkStart w:id="3" w:name="_Hlk209603955"/>
      <w:r>
        <w:rPr>
          <w:rFonts w:ascii="Verdana" w:hAnsi="Verdana"/>
          <w:b w:val="0"/>
          <w:bCs w:val="0"/>
          <w:sz w:val="20"/>
          <w:szCs w:val="20"/>
        </w:rPr>
        <w:t>Legea nr. 101/2006</w:t>
      </w:r>
      <w:bookmarkEnd w:id="3"/>
      <w:r>
        <w:rPr>
          <w:rFonts w:ascii="Verdana" w:hAnsi="Verdana"/>
          <w:b w:val="0"/>
          <w:bCs w:val="0"/>
          <w:sz w:val="20"/>
          <w:szCs w:val="20"/>
        </w:rPr>
        <w:t>.</w:t>
      </w:r>
    </w:p>
    <w:p>
      <w:pPr>
        <w:pStyle w:val="Heading2"/>
        <w:numPr>
          <w:ilvl w:val="0"/>
          <w:numId w:val="0"/>
        </w:numPr>
        <w:ind w:left="426"/>
        <w:rPr>
          <w:rFonts w:ascii="Verdana" w:hAnsi="Verdana"/>
          <w:bCs w:val="0"/>
          <w:szCs w:val="20"/>
        </w:rPr>
      </w:pPr>
      <w:r>
        <w:rPr>
          <w:rFonts w:ascii="Verdana" w:hAnsi="Verdana"/>
        </w:rPr>
        <w:t xml:space="preserve">Serviciile de Operare se referă la următoarele activități componente ale serviciului public de salubrizare (conform art. 2 alin. (3) din </w:t>
      </w:r>
      <w:r>
        <w:rPr>
          <w:rFonts w:ascii="Verdana" w:hAnsi="Verdana"/>
          <w:bCs w:val="0"/>
          <w:szCs w:val="20"/>
        </w:rPr>
        <w:t>Legea nr. 101/2006:</w:t>
      </w:r>
    </w:p>
    <w:p>
      <w:pPr>
        <w:pStyle w:val="Heading2"/>
        <w:numPr>
          <w:ilvl w:val="2"/>
          <w:numId w:val="12"/>
        </w:numPr>
        <w:ind w:left="993"/>
        <w:rPr>
          <w:rFonts w:ascii="Verdana" w:hAnsi="Verdana"/>
        </w:rPr>
      </w:pPr>
      <w:r>
        <w:rPr>
          <w:rFonts w:ascii="Verdana" w:hAnsi="Verdana"/>
        </w:rPr>
        <w:t xml:space="preserve"> transferul deșeurilor municipale în stații de transfer, inclusiv transportul separat al deșeurilor reziduale la depozitele de deșeuri nepericuloase și/sau la instalațiile integrate de tratare, al deșeurilor de hârtie, metal, plastic și sticlă colectate separat la stațiile de sortare și al biodeșeurilor la instalațiile de compostare și/sau de digestie anaerobă;</w:t>
      </w:r>
    </w:p>
    <w:p>
      <w:pPr>
        <w:pStyle w:val="Heading2"/>
        <w:numPr>
          <w:ilvl w:val="2"/>
          <w:numId w:val="12"/>
        </w:numPr>
        <w:ind w:left="993"/>
        <w:rPr>
          <w:rFonts w:ascii="Verdana" w:hAnsi="Verdana"/>
        </w:rPr>
      </w:pPr>
      <w:r>
        <w:rPr>
          <w:rFonts w:ascii="Verdana" w:hAnsi="Verdana"/>
        </w:rPr>
        <w:t xml:space="preserve"> tratarea anaerobă a biodeșeurilor colectate separat în instalații de digestie anaerobă, inclusiv transportul materialului semisolid igienizat și stabilizat la depozitele de deșeuri și/sau la instalațiile de valorificare energetică;</w:t>
      </w:r>
    </w:p>
    <w:p>
      <w:pPr>
        <w:pStyle w:val="Heading2"/>
        <w:numPr>
          <w:ilvl w:val="2"/>
          <w:numId w:val="12"/>
        </w:numPr>
        <w:ind w:left="993"/>
        <w:rPr>
          <w:rFonts w:ascii="Verdana" w:hAnsi="Verdana"/>
        </w:rPr>
      </w:pPr>
      <w:r>
        <w:rPr>
          <w:rFonts w:ascii="Verdana" w:hAnsi="Verdana"/>
        </w:rPr>
        <w:t xml:space="preserve"> tratarea mecanobiologică a deșeurilor reziduale în instalațiile de tratare mecanobiologice sau, după caz, în instalațiile integrate de tratare, inclusiv transportul deșeurilor stabilizate biologic și al deșeurilor reziduale care nu mai pot fi valorificate la depozitele de deșeuri și al deșeurilor reziduale valorificabile energetic la instalațiile de valorificare energetică.</w:t>
      </w:r>
    </w:p>
    <w:p>
      <w:pPr>
        <w:pStyle w:val="Heading1"/>
        <w:tabs>
          <w:tab w:val="clear" w:pos="851"/>
        </w:tabs>
        <w:ind w:left="450" w:hanging="450"/>
        <w:jc w:val="both"/>
        <w:rPr>
          <w:rFonts w:ascii="Verdana" w:hAnsi="Verdana"/>
          <w:b w:val="0"/>
          <w:bCs w:val="0"/>
          <w:sz w:val="20"/>
          <w:szCs w:val="20"/>
        </w:rPr>
      </w:pPr>
      <w:r>
        <w:rPr>
          <w:rFonts w:ascii="Verdana" w:hAnsi="Verdana"/>
          <w:b w:val="0"/>
          <w:bCs w:val="0"/>
          <w:sz w:val="20"/>
          <w:szCs w:val="20"/>
        </w:rPr>
        <w:t xml:space="preserve">Beneficiarul convine cu Antreprenorul să plătească următoarele sume (denumite împreună </w:t>
      </w:r>
      <w:r>
        <w:rPr>
          <w:rFonts w:ascii="Verdana" w:hAnsi="Verdana"/>
          <w:sz w:val="20"/>
          <w:szCs w:val="20"/>
        </w:rPr>
        <w:t>Prețul Contractului</w:t>
      </w:r>
      <w:r>
        <w:rPr>
          <w:rFonts w:ascii="Verdana" w:hAnsi="Verdana"/>
          <w:b w:val="0"/>
          <w:bCs w:val="0"/>
          <w:sz w:val="20"/>
          <w:szCs w:val="20"/>
        </w:rPr>
        <w:t>):</w:t>
      </w:r>
    </w:p>
    <w:p>
      <w:pPr>
        <w:pStyle w:val="Heading4"/>
        <w:tabs>
          <w:tab w:val="clear" w:pos="1418"/>
          <w:tab w:val="clear" w:pos="1701"/>
        </w:tabs>
        <w:ind w:left="1276" w:hanging="425"/>
        <w:rPr>
          <w:rFonts w:ascii="Verdana" w:hAnsi="Verdana"/>
          <w:b/>
          <w:color w:val="000000" w:themeColor="text1"/>
        </w:rPr>
      </w:pPr>
      <w:r>
        <w:rPr>
          <w:rFonts w:ascii="Verdana" w:hAnsi="Verdana"/>
          <w:color w:val="000000" w:themeColor="text1"/>
        </w:rPr>
        <w:t xml:space="preserve">pentru </w:t>
      </w:r>
      <w:r>
        <w:rPr>
          <w:rFonts w:ascii="Verdana" w:hAnsi="Verdana"/>
          <w:b/>
          <w:bCs w:val="0"/>
          <w:color w:val="000000" w:themeColor="text1"/>
        </w:rPr>
        <w:t>proiectarea</w:t>
      </w:r>
      <w:r>
        <w:rPr>
          <w:rFonts w:ascii="Verdana" w:hAnsi="Verdana"/>
          <w:color w:val="000000" w:themeColor="text1"/>
        </w:rPr>
        <w:t xml:space="preserve"> Lucrărilor, o sumă de: …………………………………… Lei, exclusiv TVA (în litere: ……………………………………), reprezentând Prețul Proiectării;</w:t>
      </w:r>
    </w:p>
    <w:p>
      <w:pPr>
        <w:pStyle w:val="Heading4"/>
        <w:tabs>
          <w:tab w:val="clear" w:pos="1418"/>
          <w:tab w:val="clear" w:pos="1701"/>
        </w:tabs>
        <w:ind w:left="1276" w:hanging="425"/>
        <w:rPr>
          <w:rFonts w:ascii="Verdana" w:hAnsi="Verdana"/>
          <w:b/>
          <w:color w:val="000000" w:themeColor="text1"/>
        </w:rPr>
      </w:pPr>
      <w:r>
        <w:rPr>
          <w:rFonts w:ascii="Verdana" w:hAnsi="Verdana"/>
          <w:color w:val="000000" w:themeColor="text1"/>
        </w:rPr>
        <w:t xml:space="preserve">pentru  </w:t>
      </w:r>
      <w:r>
        <w:rPr>
          <w:rFonts w:ascii="Verdana" w:hAnsi="Verdana"/>
          <w:b/>
          <w:color w:val="000000" w:themeColor="text1"/>
        </w:rPr>
        <w:t>execuția</w:t>
      </w:r>
      <w:r>
        <w:rPr>
          <w:rFonts w:ascii="Verdana" w:hAnsi="Verdana"/>
          <w:color w:val="000000" w:themeColor="text1"/>
        </w:rPr>
        <w:t xml:space="preserve"> Lucrărilor, o sumă de: …………………………………… Lei, exclusiv TVA (în litere: ……………………………………), reprezentând Prețul Execuției;</w:t>
      </w:r>
    </w:p>
    <w:p>
      <w:pPr>
        <w:pStyle w:val="Heading4"/>
        <w:tabs>
          <w:tab w:val="clear" w:pos="1418"/>
          <w:tab w:val="clear" w:pos="1701"/>
        </w:tabs>
        <w:ind w:left="1276" w:hanging="425"/>
        <w:rPr>
          <w:rFonts w:ascii="Verdana" w:hAnsi="Verdana"/>
          <w:b/>
          <w:color w:val="000000" w:themeColor="text1"/>
        </w:rPr>
      </w:pPr>
      <w:r>
        <w:rPr>
          <w:rFonts w:ascii="Verdana" w:hAnsi="Verdana"/>
          <w:color w:val="000000" w:themeColor="text1"/>
        </w:rPr>
        <w:t>pentru prestarea Serviciilor de Operare, următoarele Tarife:</w:t>
      </w:r>
    </w:p>
    <w:p>
      <w:pPr>
        <w:pStyle w:val="Heading5"/>
        <w:tabs>
          <w:tab w:val="clear" w:pos="2552"/>
        </w:tabs>
        <w:ind w:left="1843" w:hanging="426"/>
        <w:rPr>
          <w:rFonts w:ascii="Verdana" w:hAnsi="Verdana"/>
          <w:b/>
          <w:color w:val="000000" w:themeColor="text1"/>
        </w:rPr>
      </w:pPr>
      <w:r>
        <w:rPr>
          <w:rFonts w:ascii="Verdana" w:hAnsi="Verdana"/>
          <w:color w:val="000000" w:themeColor="text1"/>
        </w:rPr>
        <w:t xml:space="preserve">pentru desfășurarea activității de </w:t>
      </w:r>
      <w:r>
        <w:rPr>
          <w:rFonts w:ascii="Verdana" w:hAnsi="Verdana"/>
          <w:i/>
          <w:iCs w:val="0"/>
          <w:color w:val="000000" w:themeColor="text1"/>
        </w:rPr>
        <w:t xml:space="preserve">Transfer </w:t>
      </w:r>
      <w:r>
        <w:rPr>
          <w:rFonts w:ascii="Verdana" w:hAnsi="Verdana" w:cstheme="minorHAnsi"/>
          <w:i/>
          <w:w w:val="105"/>
        </w:rPr>
        <w:t>al deşeurilor de hârtie, metal, plastic şi sticlă</w:t>
      </w:r>
      <w:r>
        <w:rPr>
          <w:rFonts w:ascii="Verdana" w:hAnsi="Verdana"/>
          <w:color w:val="000000" w:themeColor="text1"/>
        </w:rPr>
        <w:t>, Tariful de …………………………………… Lei, exclusiv TVA (în litere: ……………………………………) pe tonă de Deșeuri;</w:t>
      </w:r>
    </w:p>
    <w:p>
      <w:pPr>
        <w:pStyle w:val="Heading5"/>
        <w:tabs>
          <w:tab w:val="clear" w:pos="2552"/>
        </w:tabs>
        <w:ind w:left="1843" w:hanging="426"/>
        <w:rPr>
          <w:rFonts w:ascii="Verdana" w:hAnsi="Verdana"/>
          <w:b/>
          <w:color w:val="000000" w:themeColor="text1"/>
        </w:rPr>
      </w:pPr>
      <w:r>
        <w:rPr>
          <w:rFonts w:ascii="Verdana" w:hAnsi="Verdana"/>
          <w:color w:val="000000" w:themeColor="text1"/>
        </w:rPr>
        <w:t xml:space="preserve">pentru desfășurarea activității de </w:t>
      </w:r>
      <w:r>
        <w:rPr>
          <w:rFonts w:ascii="Verdana" w:hAnsi="Verdana"/>
          <w:i/>
          <w:iCs w:val="0"/>
          <w:color w:val="000000" w:themeColor="text1"/>
        </w:rPr>
        <w:t xml:space="preserve">Transfer </w:t>
      </w:r>
      <w:r>
        <w:rPr>
          <w:rFonts w:ascii="Verdana" w:hAnsi="Verdana" w:cstheme="minorHAnsi"/>
          <w:i/>
          <w:w w:val="105"/>
        </w:rPr>
        <w:t>al deşeurilor reziduale, inclusiv a reziduurilor menajere şi similare şi al altor deşeuri colectate separat decât cele de hârtie, metal, plastic şi sticlă</w:t>
      </w:r>
      <w:r>
        <w:rPr>
          <w:rFonts w:ascii="Verdana" w:hAnsi="Verdana"/>
          <w:color w:val="000000" w:themeColor="text1"/>
        </w:rPr>
        <w:t>, Tariful de …………………………………… Lei, exclusiv TVA (în litere: ……………………………………) pe tonă de Deșeuri;</w:t>
      </w:r>
    </w:p>
    <w:p>
      <w:pPr>
        <w:pStyle w:val="Heading5"/>
        <w:tabs>
          <w:tab w:val="clear" w:pos="2552"/>
        </w:tabs>
        <w:ind w:left="1843" w:hanging="426"/>
        <w:rPr>
          <w:rFonts w:ascii="Verdana" w:hAnsi="Verdana"/>
          <w:b/>
          <w:color w:val="000000" w:themeColor="text1"/>
        </w:rPr>
      </w:pPr>
      <w:r>
        <w:rPr>
          <w:rFonts w:ascii="Verdana" w:hAnsi="Verdana"/>
          <w:color w:val="000000" w:themeColor="text1"/>
        </w:rPr>
        <w:lastRenderedPageBreak/>
        <w:t xml:space="preserve">pentru desfășurarea activității de </w:t>
      </w:r>
      <w:r>
        <w:rPr>
          <w:rFonts w:ascii="Verdana" w:hAnsi="Verdana"/>
          <w:i/>
          <w:iCs w:val="0"/>
          <w:color w:val="000000" w:themeColor="text1"/>
        </w:rPr>
        <w:t>Tratare mecano-biologică a deșeurilor reziduale</w:t>
      </w:r>
      <w:r>
        <w:rPr>
          <w:rFonts w:ascii="Verdana" w:hAnsi="Verdana"/>
          <w:color w:val="000000" w:themeColor="text1"/>
        </w:rPr>
        <w:t xml:space="preserve">, Tariful de …………………………………… Lei, exclusiv TVA (în litere: ……………………………………) pe tonă de Deșeuri; </w:t>
      </w:r>
    </w:p>
    <w:p>
      <w:pPr>
        <w:pStyle w:val="Heading5"/>
        <w:tabs>
          <w:tab w:val="clear" w:pos="2552"/>
        </w:tabs>
        <w:ind w:left="1843" w:hanging="426"/>
        <w:rPr>
          <w:rFonts w:ascii="Verdana" w:hAnsi="Verdana"/>
          <w:b/>
          <w:color w:val="000000" w:themeColor="text1"/>
        </w:rPr>
      </w:pPr>
      <w:r>
        <w:rPr>
          <w:rFonts w:ascii="Verdana" w:hAnsi="Verdana"/>
          <w:color w:val="000000" w:themeColor="text1"/>
        </w:rPr>
        <w:t xml:space="preserve">pentru desfășurarea activității de </w:t>
      </w:r>
      <w:r>
        <w:rPr>
          <w:rFonts w:ascii="Verdana" w:hAnsi="Verdana"/>
          <w:i/>
          <w:iCs w:val="0"/>
          <w:color w:val="000000" w:themeColor="text1"/>
        </w:rPr>
        <w:t>Digestie anaerobă</w:t>
      </w:r>
      <w:r>
        <w:rPr>
          <w:rFonts w:ascii="Verdana" w:hAnsi="Verdana"/>
          <w:color w:val="000000" w:themeColor="text1"/>
        </w:rPr>
        <w:t>, Tariful de …………………………………… Lei, exclusiv TVA (în litere: ……………………………………) pe tonă de Deșeuri.</w:t>
      </w:r>
    </w:p>
    <w:p>
      <w:pPr>
        <w:pStyle w:val="Heading4"/>
        <w:numPr>
          <w:ilvl w:val="0"/>
          <w:numId w:val="0"/>
        </w:numPr>
        <w:tabs>
          <w:tab w:val="clear" w:pos="1418"/>
        </w:tabs>
        <w:ind w:left="851"/>
        <w:rPr>
          <w:rFonts w:ascii="Verdana" w:hAnsi="Verdana"/>
          <w:color w:val="000000" w:themeColor="text1"/>
        </w:rPr>
      </w:pPr>
      <w:r>
        <w:rPr>
          <w:rFonts w:ascii="Verdana" w:hAnsi="Verdana"/>
          <w:color w:val="000000" w:themeColor="text1"/>
        </w:rPr>
        <w:t xml:space="preserve">Sumele plătite Antreprenorului pentru prestarea Serviciilor de Operare reprezintă Prețul Serviciilor de Operare, care se achită la termenele și conform modalităților stipulate în Contract. </w:t>
      </w:r>
    </w:p>
    <w:p>
      <w:pPr>
        <w:pStyle w:val="Heading4"/>
        <w:numPr>
          <w:ilvl w:val="0"/>
          <w:numId w:val="0"/>
        </w:numPr>
        <w:tabs>
          <w:tab w:val="clear" w:pos="1418"/>
        </w:tabs>
        <w:ind w:left="851"/>
        <w:rPr>
          <w:rFonts w:ascii="Verdana" w:hAnsi="Verdana"/>
          <w:color w:val="000000" w:themeColor="text1"/>
        </w:rPr>
      </w:pPr>
      <w:r>
        <w:rPr>
          <w:rFonts w:ascii="Verdana" w:hAnsi="Verdana"/>
          <w:color w:val="000000" w:themeColor="text1"/>
        </w:rPr>
        <w:t>La sumele menționate mai sus se va adăuga taxa pe valoare adăugată în conformitate cu prevederile legale în vigoare. Modificarea Prețului Contractului se va realiza în conformitate cu prevederile legale.</w:t>
      </w:r>
    </w:p>
    <w:p>
      <w:pPr>
        <w:pStyle w:val="Heading1"/>
        <w:jc w:val="both"/>
        <w:rPr>
          <w:rFonts w:ascii="Verdana" w:hAnsi="Verdana"/>
          <w:b w:val="0"/>
          <w:bCs w:val="0"/>
          <w:color w:val="000000" w:themeColor="text1"/>
          <w:sz w:val="20"/>
          <w:szCs w:val="20"/>
        </w:rPr>
      </w:pPr>
      <w:r>
        <w:rPr>
          <w:rFonts w:ascii="Verdana" w:hAnsi="Verdana"/>
          <w:b w:val="0"/>
          <w:bCs w:val="0"/>
          <w:color w:val="000000" w:themeColor="text1"/>
          <w:sz w:val="20"/>
          <w:szCs w:val="20"/>
        </w:rPr>
        <w:t>Beneficiarul convine împreună cu Antreprenorul ca acesta din urma să plătească Beneficiarului Proprietar al Facilității Redevența în cuantumul și la termenele prevăzute în Acordul Contractual, de la data Data Începerii Operării.</w:t>
      </w:r>
    </w:p>
    <w:p>
      <w:pPr>
        <w:pStyle w:val="Heading1"/>
        <w:tabs>
          <w:tab w:val="clear" w:pos="851"/>
        </w:tabs>
        <w:ind w:left="450" w:hanging="450"/>
        <w:jc w:val="both"/>
        <w:rPr>
          <w:rFonts w:ascii="Verdana" w:hAnsi="Verdana"/>
          <w:b w:val="0"/>
          <w:bCs w:val="0"/>
          <w:color w:val="000000" w:themeColor="text1"/>
          <w:sz w:val="20"/>
          <w:szCs w:val="20"/>
        </w:rPr>
      </w:pPr>
      <w:r>
        <w:rPr>
          <w:rFonts w:ascii="Verdana" w:hAnsi="Verdana"/>
          <w:b w:val="0"/>
          <w:bCs w:val="0"/>
          <w:color w:val="000000" w:themeColor="text1"/>
          <w:sz w:val="20"/>
          <w:szCs w:val="20"/>
        </w:rPr>
        <w:t>Celelalte date contractuale la care se face referire în Condițiile Contractuale ca fiind prevăzute în Acordul Contractual sunt următoarele:</w:t>
      </w:r>
    </w:p>
    <w:tbl>
      <w:tblPr>
        <w:tblStyle w:val="TableGrid"/>
        <w:tblW w:w="0" w:type="auto"/>
        <w:tblLook w:val="04A0" w:firstRow="1" w:lastRow="0" w:firstColumn="1" w:lastColumn="0" w:noHBand="0" w:noVBand="1"/>
      </w:tblPr>
      <w:tblGrid>
        <w:gridCol w:w="1476"/>
        <w:gridCol w:w="3371"/>
        <w:gridCol w:w="4215"/>
      </w:tblGrid>
      <w:tr>
        <w:trPr>
          <w:cnfStyle w:val="100000000000" w:firstRow="1" w:lastRow="0" w:firstColumn="0" w:lastColumn="0" w:oddVBand="0" w:evenVBand="0" w:oddHBand="0" w:evenHBand="0" w:firstRowFirstColumn="0" w:firstRowLastColumn="0" w:lastRowFirstColumn="0" w:lastRowLastColumn="0"/>
        </w:trPr>
        <w:tc>
          <w:tcPr>
            <w:tcW w:w="1476" w:type="dxa"/>
          </w:tcPr>
          <w:p>
            <w:pPr>
              <w:pStyle w:val="Heading2"/>
              <w:numPr>
                <w:ilvl w:val="0"/>
                <w:numId w:val="0"/>
              </w:numPr>
              <w:outlineLvl w:val="1"/>
              <w:rPr>
                <w:rFonts w:ascii="Verdana" w:hAnsi="Verdana"/>
                <w:b/>
                <w:bCs w:val="0"/>
                <w:color w:val="000000" w:themeColor="text1"/>
                <w:szCs w:val="20"/>
              </w:rPr>
            </w:pPr>
            <w:r>
              <w:rPr>
                <w:rFonts w:ascii="Verdana" w:hAnsi="Verdana"/>
                <w:b/>
                <w:bCs w:val="0"/>
                <w:color w:val="000000" w:themeColor="text1"/>
                <w:szCs w:val="20"/>
              </w:rPr>
              <w:t>Referință</w:t>
            </w:r>
          </w:p>
        </w:tc>
        <w:tc>
          <w:tcPr>
            <w:tcW w:w="3371" w:type="dxa"/>
          </w:tcPr>
          <w:p>
            <w:pPr>
              <w:pStyle w:val="Heading2"/>
              <w:numPr>
                <w:ilvl w:val="0"/>
                <w:numId w:val="0"/>
              </w:numPr>
              <w:outlineLvl w:val="1"/>
              <w:rPr>
                <w:rFonts w:ascii="Verdana" w:hAnsi="Verdana"/>
                <w:b/>
                <w:bCs w:val="0"/>
                <w:color w:val="000000" w:themeColor="text1"/>
                <w:szCs w:val="20"/>
              </w:rPr>
            </w:pPr>
            <w:r>
              <w:rPr>
                <w:rFonts w:ascii="Verdana" w:hAnsi="Verdana"/>
                <w:b/>
                <w:bCs w:val="0"/>
                <w:color w:val="000000" w:themeColor="text1"/>
                <w:szCs w:val="20"/>
              </w:rPr>
              <w:t>Element</w:t>
            </w:r>
          </w:p>
        </w:tc>
        <w:tc>
          <w:tcPr>
            <w:tcW w:w="4215" w:type="dxa"/>
          </w:tcPr>
          <w:p>
            <w:pPr>
              <w:pStyle w:val="Heading2"/>
              <w:numPr>
                <w:ilvl w:val="0"/>
                <w:numId w:val="0"/>
              </w:numPr>
              <w:outlineLvl w:val="1"/>
              <w:rPr>
                <w:rFonts w:ascii="Verdana" w:hAnsi="Verdana"/>
                <w:b/>
                <w:bCs w:val="0"/>
                <w:color w:val="000000" w:themeColor="text1"/>
                <w:szCs w:val="20"/>
              </w:rPr>
            </w:pPr>
            <w:r>
              <w:rPr>
                <w:rFonts w:ascii="Verdana" w:hAnsi="Verdana"/>
                <w:b/>
                <w:bCs w:val="0"/>
                <w:color w:val="000000" w:themeColor="text1"/>
                <w:szCs w:val="20"/>
              </w:rPr>
              <w:t>Date contractuale</w:t>
            </w:r>
          </w:p>
        </w:tc>
      </w:tr>
      <w:tr>
        <w:tc>
          <w:tcPr>
            <w:tcW w:w="9062" w:type="dxa"/>
            <w:gridSpan w:val="3"/>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Clauza 1 – Definiții</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 xml:space="preserve">b) </w:t>
            </w:r>
          </w:p>
        </w:tc>
        <w:tc>
          <w:tcPr>
            <w:tcW w:w="3371" w:type="dxa"/>
          </w:tcPr>
          <w:p>
            <w:pPr>
              <w:pStyle w:val="Heading2"/>
              <w:numPr>
                <w:ilvl w:val="0"/>
                <w:numId w:val="0"/>
              </w:numPr>
              <w:jc w:val="both"/>
              <w:outlineLvl w:val="1"/>
              <w:rPr>
                <w:rFonts w:ascii="Verdana" w:hAnsi="Verdana"/>
                <w:color w:val="000000" w:themeColor="text1"/>
                <w:szCs w:val="20"/>
              </w:rPr>
            </w:pPr>
            <w:r>
              <w:rPr>
                <w:rFonts w:ascii="Verdana" w:hAnsi="Verdana"/>
                <w:color w:val="000000" w:themeColor="text1"/>
                <w:szCs w:val="20"/>
              </w:rPr>
              <w:t>Numele și adresa Antreprenorului</w:t>
            </w:r>
          </w:p>
        </w:tc>
        <w:tc>
          <w:tcPr>
            <w:tcW w:w="4215" w:type="dxa"/>
            <w:shd w:val="clear" w:color="auto" w:fill="FFFFFF" w:themeFill="background1"/>
          </w:tcPr>
          <w:p>
            <w:pPr>
              <w:pStyle w:val="Heading2"/>
              <w:numPr>
                <w:ilvl w:val="0"/>
                <w:numId w:val="0"/>
              </w:numPr>
              <w:ind w:left="851" w:hanging="851"/>
              <w:jc w:val="both"/>
              <w:outlineLvl w:val="1"/>
              <w:rPr>
                <w:rFonts w:ascii="Verdana" w:hAnsi="Verdana"/>
                <w:i/>
                <w:iCs w:val="0"/>
                <w:color w:val="000000" w:themeColor="text1"/>
                <w:szCs w:val="20"/>
              </w:rPr>
            </w:pPr>
            <w:r>
              <w:rPr>
                <w:rFonts w:ascii="Verdana" w:hAnsi="Verdana"/>
                <w:i/>
                <w:iCs w:val="0"/>
                <w:color w:val="000000" w:themeColor="text1"/>
                <w:szCs w:val="20"/>
              </w:rPr>
              <w:t xml:space="preserve">(se va completa la momentul </w:t>
            </w:r>
          </w:p>
          <w:p>
            <w:pPr>
              <w:pStyle w:val="Heading2"/>
              <w:numPr>
                <w:ilvl w:val="0"/>
                <w:numId w:val="0"/>
              </w:numPr>
              <w:jc w:val="both"/>
              <w:outlineLvl w:val="1"/>
              <w:rPr>
                <w:rFonts w:ascii="Verdana" w:hAnsi="Verdana"/>
                <w:color w:val="000000" w:themeColor="text1"/>
                <w:szCs w:val="20"/>
                <w:highlight w:val="yellow"/>
              </w:rPr>
            </w:pPr>
            <w:r>
              <w:rPr>
                <w:rFonts w:ascii="Verdana" w:hAnsi="Verdana"/>
                <w:i/>
                <w:iCs w:val="0"/>
                <w:color w:val="000000" w:themeColor="text1"/>
                <w:szCs w:val="20"/>
              </w:rPr>
              <w:t>semnării Acordului Contractual)</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h)</w:t>
            </w:r>
          </w:p>
        </w:tc>
        <w:tc>
          <w:tcPr>
            <w:tcW w:w="3371" w:type="dxa"/>
          </w:tcPr>
          <w:p>
            <w:pPr>
              <w:pStyle w:val="Heading2"/>
              <w:numPr>
                <w:ilvl w:val="0"/>
                <w:numId w:val="0"/>
              </w:numPr>
              <w:ind w:left="851" w:hanging="851"/>
              <w:outlineLvl w:val="1"/>
              <w:rPr>
                <w:rFonts w:ascii="Verdana" w:hAnsi="Verdana"/>
                <w:color w:val="000000" w:themeColor="text1"/>
                <w:szCs w:val="20"/>
              </w:rPr>
            </w:pPr>
            <w:r>
              <w:rPr>
                <w:rFonts w:ascii="Verdana" w:hAnsi="Verdana"/>
                <w:color w:val="000000" w:themeColor="text1"/>
                <w:szCs w:val="20"/>
              </w:rPr>
              <w:t>Beneficiarul Asociația</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Asociația de Dezvoltare Intercomunitară „ECOSERV” Galați</w:t>
            </w:r>
          </w:p>
          <w:p>
            <w:pPr>
              <w:pStyle w:val="Heading2"/>
              <w:numPr>
                <w:ilvl w:val="0"/>
                <w:numId w:val="0"/>
              </w:numPr>
              <w:outlineLvl w:val="1"/>
              <w:rPr>
                <w:rFonts w:ascii="Verdana" w:hAnsi="Verdana"/>
                <w:i/>
                <w:iCs w:val="0"/>
                <w:color w:val="000000" w:themeColor="text1"/>
                <w:szCs w:val="20"/>
              </w:rPr>
            </w:pP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i)</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Beneficiarul Delegatar</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Unitățile administrativ-teritoriale membre ale Asociației de Dezvoltare Intercomunitară „ECOSERV” Galați:</w:t>
            </w:r>
          </w:p>
          <w:p>
            <w:pPr>
              <w:pStyle w:val="Heading2"/>
              <w:numPr>
                <w:ilvl w:val="2"/>
                <w:numId w:val="12"/>
              </w:numPr>
              <w:ind w:left="421"/>
              <w:outlineLvl w:val="1"/>
              <w:rPr>
                <w:rFonts w:ascii="Verdana" w:hAnsi="Verdana"/>
                <w:color w:val="000000" w:themeColor="text1"/>
                <w:szCs w:val="20"/>
              </w:rPr>
            </w:pPr>
            <w:r>
              <w:rPr>
                <w:rFonts w:ascii="Verdana" w:hAnsi="Verdana"/>
                <w:color w:val="000000" w:themeColor="text1"/>
                <w:szCs w:val="20"/>
              </w:rPr>
              <w:t>Județul Galați</w:t>
            </w:r>
          </w:p>
          <w:p>
            <w:pPr>
              <w:pStyle w:val="Heading2"/>
              <w:numPr>
                <w:ilvl w:val="2"/>
                <w:numId w:val="12"/>
              </w:numPr>
              <w:ind w:left="421"/>
              <w:outlineLvl w:val="1"/>
              <w:rPr>
                <w:rFonts w:ascii="Verdana" w:hAnsi="Verdana"/>
                <w:color w:val="000000" w:themeColor="text1"/>
                <w:szCs w:val="20"/>
              </w:rPr>
            </w:pPr>
            <w:r>
              <w:rPr>
                <w:rFonts w:ascii="Verdana" w:hAnsi="Verdana"/>
                <w:color w:val="000000" w:themeColor="text1"/>
                <w:szCs w:val="20"/>
              </w:rPr>
              <w:t>Municipiile Galaţi, Tecuci</w:t>
            </w:r>
          </w:p>
          <w:p>
            <w:pPr>
              <w:pStyle w:val="Heading2"/>
              <w:numPr>
                <w:ilvl w:val="2"/>
                <w:numId w:val="12"/>
              </w:numPr>
              <w:ind w:left="421"/>
              <w:outlineLvl w:val="1"/>
              <w:rPr>
                <w:rFonts w:ascii="Verdana" w:hAnsi="Verdana"/>
                <w:color w:val="000000" w:themeColor="text1"/>
                <w:szCs w:val="20"/>
              </w:rPr>
            </w:pPr>
            <w:r>
              <w:rPr>
                <w:rFonts w:ascii="Verdana" w:hAnsi="Verdana"/>
                <w:color w:val="000000" w:themeColor="text1"/>
                <w:szCs w:val="20"/>
              </w:rPr>
              <w:t>Orașele Bereşti, Bereşti, Târgu Bujor</w:t>
            </w:r>
          </w:p>
          <w:p>
            <w:pPr>
              <w:pStyle w:val="Heading2"/>
              <w:numPr>
                <w:ilvl w:val="2"/>
                <w:numId w:val="12"/>
              </w:numPr>
              <w:ind w:left="421"/>
              <w:outlineLvl w:val="1"/>
              <w:rPr>
                <w:rFonts w:ascii="Verdana" w:hAnsi="Verdana"/>
                <w:color w:val="000000" w:themeColor="text1"/>
                <w:szCs w:val="20"/>
              </w:rPr>
            </w:pPr>
            <w:r>
              <w:rPr>
                <w:rFonts w:ascii="Verdana" w:hAnsi="Verdana"/>
                <w:color w:val="000000" w:themeColor="text1"/>
                <w:szCs w:val="20"/>
              </w:rPr>
              <w:t xml:space="preserve">Comunele Barcea, Bãlãbãnesti, Bãlãsesti, Bãleni, Bãneasa, Bereşti Meria, Braniştea, Brãhãsesti, Buciumeni, Cavadinesti, Certeşti, Corni, Corod, Cosmeşti, Costache Negri, Cuca, Cudalbi, Cuza Vodã, Drãgãneşti, Drãguşeni, Fîrţăneşti, Folteşti, Frumuşiţa,Fundeni, Ghidigeni, Gohor, Griviţa, Independenţa, Iveşti, Jorãşti, Lieşti, Matca, Mãstãcani, Movileni, </w:t>
            </w:r>
            <w:r>
              <w:rPr>
                <w:rFonts w:ascii="Verdana" w:hAnsi="Verdana"/>
                <w:color w:val="000000" w:themeColor="text1"/>
                <w:szCs w:val="20"/>
              </w:rPr>
              <w:lastRenderedPageBreak/>
              <w:t>Munteni, Nãmoloasa, Negrileşti, Nicoreşti,  Oancea, Pechea, Piscu, Poiana, Priponeşti, Rãdeşti, Rediu, Schela, Scînteieşti, Slobozia Conachi, Smârdan, Smulţi, Suceveni, Suhurlui, Şendreni, Tudor Vladimirescu, Tuluceşti, Ţepu, Umbrãreşti, Valea Mãrului, Vînători, Vîrlezi, Vlădeşti,</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lastRenderedPageBreak/>
              <w:t>j)</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Beneficiarul Proprietar al Facilității</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Județul Galați</w:t>
            </w:r>
          </w:p>
          <w:p>
            <w:pPr>
              <w:pStyle w:val="Heading2"/>
              <w:numPr>
                <w:ilvl w:val="0"/>
                <w:numId w:val="0"/>
              </w:numPr>
              <w:outlineLvl w:val="1"/>
              <w:rPr>
                <w:rFonts w:ascii="Verdana" w:hAnsi="Verdana"/>
                <w:i/>
                <w:iCs w:val="0"/>
                <w:color w:val="000000" w:themeColor="text1"/>
                <w:szCs w:val="20"/>
              </w:rPr>
            </w:pP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kk)</w:t>
            </w:r>
          </w:p>
        </w:tc>
        <w:tc>
          <w:tcPr>
            <w:tcW w:w="3371" w:type="dxa"/>
          </w:tcPr>
          <w:p>
            <w:pPr>
              <w:pStyle w:val="Heading2"/>
              <w:numPr>
                <w:ilvl w:val="0"/>
                <w:numId w:val="0"/>
              </w:numPr>
              <w:ind w:left="851" w:hanging="851"/>
              <w:outlineLvl w:val="1"/>
              <w:rPr>
                <w:rFonts w:ascii="Verdana" w:hAnsi="Verdana"/>
                <w:color w:val="000000" w:themeColor="text1"/>
                <w:szCs w:val="20"/>
              </w:rPr>
            </w:pPr>
            <w:r>
              <w:rPr>
                <w:rFonts w:ascii="Verdana" w:hAnsi="Verdana"/>
                <w:color w:val="000000" w:themeColor="text1"/>
                <w:szCs w:val="20"/>
              </w:rPr>
              <w:t>Data Limită</w:t>
            </w:r>
          </w:p>
        </w:tc>
        <w:tc>
          <w:tcPr>
            <w:tcW w:w="4215" w:type="dxa"/>
            <w:shd w:val="clear" w:color="auto" w:fill="FFFFFF" w:themeFill="background1"/>
          </w:tcPr>
          <w:p>
            <w:pPr>
              <w:pStyle w:val="Heading2"/>
              <w:numPr>
                <w:ilvl w:val="0"/>
                <w:numId w:val="0"/>
              </w:numPr>
              <w:outlineLvl w:val="1"/>
              <w:rPr>
                <w:rFonts w:ascii="Verdana" w:hAnsi="Verdana"/>
                <w:i/>
                <w:iCs w:val="0"/>
                <w:color w:val="000000" w:themeColor="text1"/>
                <w:szCs w:val="20"/>
              </w:rPr>
            </w:pPr>
            <w:r>
              <w:rPr>
                <w:rFonts w:ascii="Verdana" w:hAnsi="Verdana"/>
                <w:color w:val="000000" w:themeColor="text1"/>
                <w:szCs w:val="20"/>
              </w:rPr>
              <w:t>60 zile de la expirarea Duratei de Execuție</w:t>
            </w:r>
          </w:p>
          <w:p>
            <w:pPr>
              <w:pStyle w:val="Heading2"/>
              <w:numPr>
                <w:ilvl w:val="0"/>
                <w:numId w:val="0"/>
              </w:numPr>
              <w:outlineLvl w:val="1"/>
              <w:rPr>
                <w:rFonts w:ascii="Verdana" w:hAnsi="Verdana"/>
                <w:i/>
                <w:iCs w:val="0"/>
                <w:color w:val="000000" w:themeColor="text1"/>
                <w:szCs w:val="20"/>
                <w:highlight w:val="yellow"/>
              </w:rPr>
            </w:pPr>
            <w:r>
              <w:rPr>
                <w:rFonts w:ascii="Verdana" w:hAnsi="Verdana"/>
                <w:i/>
                <w:iCs w:val="0"/>
                <w:color w:val="000000" w:themeColor="text1"/>
                <w:szCs w:val="20"/>
              </w:rPr>
              <w:t>(se va completa de către Beneficiar, la momentul elaborării documentației de atribuire)</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nn)</w:t>
            </w:r>
          </w:p>
        </w:tc>
        <w:tc>
          <w:tcPr>
            <w:tcW w:w="3371" w:type="dxa"/>
          </w:tcPr>
          <w:p>
            <w:pPr>
              <w:pStyle w:val="Heading2"/>
              <w:numPr>
                <w:ilvl w:val="0"/>
                <w:numId w:val="0"/>
              </w:numPr>
              <w:ind w:left="851" w:hanging="851"/>
              <w:outlineLvl w:val="1"/>
              <w:rPr>
                <w:rFonts w:ascii="Verdana" w:hAnsi="Verdana"/>
                <w:color w:val="000000" w:themeColor="text1"/>
                <w:szCs w:val="20"/>
              </w:rPr>
            </w:pPr>
            <w:r>
              <w:rPr>
                <w:rFonts w:ascii="Verdana" w:hAnsi="Verdana"/>
                <w:color w:val="000000" w:themeColor="text1"/>
                <w:szCs w:val="20"/>
              </w:rPr>
              <w:t>Depozit</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Depozitul Valea Mărului, situat în  localitatea Valea Mărului, județul Galați</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 xml:space="preserve">aaa) </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Durata de Execuție</w:t>
            </w:r>
          </w:p>
        </w:tc>
        <w:tc>
          <w:tcPr>
            <w:tcW w:w="4215" w:type="dxa"/>
            <w:shd w:val="clear" w:color="auto" w:fill="FFFFFF" w:themeFill="background1"/>
          </w:tcPr>
          <w:p>
            <w:pPr>
              <w:pStyle w:val="Heading2"/>
              <w:numPr>
                <w:ilvl w:val="0"/>
                <w:numId w:val="0"/>
              </w:numPr>
              <w:outlineLvl w:val="1"/>
              <w:rPr>
                <w:rFonts w:ascii="Verdana" w:hAnsi="Verdana"/>
                <w:iCs w:val="0"/>
                <w:szCs w:val="20"/>
              </w:rPr>
            </w:pPr>
            <w:r>
              <w:rPr>
                <w:rFonts w:ascii="Verdana" w:hAnsi="Verdana"/>
                <w:iCs w:val="0"/>
                <w:szCs w:val="20"/>
              </w:rPr>
              <w:t xml:space="preserve"> 38 luni, din care:</w:t>
            </w:r>
          </w:p>
          <w:p>
            <w:pPr>
              <w:pStyle w:val="Heading2"/>
              <w:numPr>
                <w:ilvl w:val="0"/>
                <w:numId w:val="15"/>
              </w:numPr>
              <w:outlineLvl w:val="1"/>
              <w:rPr>
                <w:rFonts w:ascii="Verdana" w:hAnsi="Verdana"/>
                <w:szCs w:val="20"/>
              </w:rPr>
            </w:pPr>
            <w:r>
              <w:rPr>
                <w:rFonts w:ascii="Verdana" w:hAnsi="Verdana"/>
                <w:szCs w:val="20"/>
              </w:rPr>
              <w:t>6 luni etapa de Proiectare</w:t>
            </w:r>
          </w:p>
          <w:p>
            <w:pPr>
              <w:pStyle w:val="Heading2"/>
              <w:numPr>
                <w:ilvl w:val="0"/>
                <w:numId w:val="15"/>
              </w:numPr>
              <w:outlineLvl w:val="1"/>
              <w:rPr>
                <w:rFonts w:ascii="Verdana" w:hAnsi="Verdana"/>
                <w:szCs w:val="20"/>
              </w:rPr>
            </w:pPr>
            <w:r>
              <w:rPr>
                <w:rFonts w:ascii="Verdana" w:hAnsi="Verdana"/>
                <w:szCs w:val="20"/>
              </w:rPr>
              <w:t>32 luni etapa de Execuție</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ccc)</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Facilitate</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Instalație de tratare mecano-biologică și stație de transfer</w:t>
            </w:r>
          </w:p>
          <w:p>
            <w:pPr>
              <w:pStyle w:val="Heading2"/>
              <w:numPr>
                <w:ilvl w:val="0"/>
                <w:numId w:val="0"/>
              </w:numPr>
              <w:outlineLvl w:val="1"/>
              <w:rPr>
                <w:rFonts w:ascii="Verdana" w:hAnsi="Verdana"/>
                <w:i/>
                <w:iCs w:val="0"/>
                <w:color w:val="000000" w:themeColor="text1"/>
                <w:szCs w:val="20"/>
              </w:rPr>
            </w:pP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ddd)</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Fluxul Deșeurilor</w:t>
            </w:r>
          </w:p>
        </w:tc>
        <w:tc>
          <w:tcPr>
            <w:tcW w:w="4215" w:type="dxa"/>
            <w:shd w:val="clear" w:color="auto" w:fill="FFFFFF" w:themeFill="background1"/>
          </w:tcPr>
          <w:p>
            <w:pPr>
              <w:pStyle w:val="Heading2"/>
              <w:numPr>
                <w:ilvl w:val="0"/>
                <w:numId w:val="0"/>
              </w:numPr>
              <w:outlineLvl w:val="1"/>
              <w:rPr>
                <w:rFonts w:ascii="Verdana" w:hAnsi="Verdana"/>
                <w:b/>
                <w:color w:val="000000" w:themeColor="text1"/>
                <w:szCs w:val="20"/>
              </w:rPr>
            </w:pPr>
            <w:r>
              <w:rPr>
                <w:rFonts w:ascii="Verdana" w:hAnsi="Verdana"/>
                <w:b/>
                <w:color w:val="000000" w:themeColor="text1"/>
                <w:szCs w:val="20"/>
              </w:rPr>
              <w:t>Intrări în instalația de tratare mecano-biologică:</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Deșeuri menajere și similare colectate în amestec din județul Galați;</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Deșeuri din piețe colectate în amestec din județul Galați</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Deșeuri stradale, altele decât cele inerte de la măturatul stradal, colectate din județul Galați;</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Biodeșeuri colectate separat din județul Galați;</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 xml:space="preserve">Reziduuri de la stațiile de sortare și compostare din județul Galați; </w:t>
            </w:r>
          </w:p>
          <w:p>
            <w:pPr>
              <w:pStyle w:val="Heading2"/>
              <w:numPr>
                <w:ilvl w:val="0"/>
                <w:numId w:val="15"/>
              </w:numPr>
              <w:outlineLvl w:val="1"/>
              <w:rPr>
                <w:rFonts w:ascii="Verdana" w:hAnsi="Verdana"/>
                <w:b/>
                <w:bCs w:val="0"/>
                <w:color w:val="000000" w:themeColor="text1"/>
                <w:szCs w:val="20"/>
              </w:rPr>
            </w:pPr>
            <w:r>
              <w:rPr>
                <w:rFonts w:ascii="Verdana" w:hAnsi="Verdana"/>
                <w:color w:val="000000" w:themeColor="text1"/>
                <w:szCs w:val="20"/>
              </w:rPr>
              <w:t xml:space="preserve">Reziduuri combustibile de la tratarea deșeurilor voluminoase și a deșeurilor textile de la instalații din județul Galați, pentru obținere de RDF. </w:t>
            </w:r>
          </w:p>
          <w:p>
            <w:pPr>
              <w:pStyle w:val="Heading2"/>
              <w:numPr>
                <w:ilvl w:val="0"/>
                <w:numId w:val="0"/>
              </w:numPr>
              <w:outlineLvl w:val="1"/>
              <w:rPr>
                <w:rFonts w:ascii="Verdana" w:hAnsi="Verdana"/>
                <w:b/>
                <w:bCs w:val="0"/>
                <w:color w:val="000000" w:themeColor="text1"/>
                <w:szCs w:val="20"/>
              </w:rPr>
            </w:pPr>
            <w:r>
              <w:rPr>
                <w:rFonts w:ascii="Verdana" w:hAnsi="Verdana"/>
                <w:b/>
                <w:bCs w:val="0"/>
                <w:color w:val="000000" w:themeColor="text1"/>
                <w:szCs w:val="20"/>
              </w:rPr>
              <w:t>Ieșiri din instalația de tratare mecano-biologică:</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Deșeuri reciclabile;</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Deșeuri combustibile (RDF);</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Reziduuri de la tratarea mecanică și biologică;</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lastRenderedPageBreak/>
              <w:t>Digestat stabilizat obținut din deșeuri reziduale colectate în amestec/CLO;</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Compost, obținut din digestat din biodeșeuri colectate separat;</w:t>
            </w:r>
          </w:p>
          <w:p>
            <w:pPr>
              <w:pStyle w:val="Heading2"/>
              <w:numPr>
                <w:ilvl w:val="0"/>
                <w:numId w:val="0"/>
              </w:numPr>
              <w:ind w:left="851" w:hanging="851"/>
              <w:outlineLvl w:val="1"/>
              <w:rPr>
                <w:rFonts w:ascii="Verdana" w:hAnsi="Verdana"/>
                <w:b/>
                <w:bCs w:val="0"/>
                <w:color w:val="000000" w:themeColor="text1"/>
                <w:szCs w:val="20"/>
              </w:rPr>
            </w:pPr>
            <w:r>
              <w:rPr>
                <w:rFonts w:ascii="Verdana" w:hAnsi="Verdana"/>
                <w:b/>
                <w:bCs w:val="0"/>
                <w:color w:val="000000" w:themeColor="text1"/>
                <w:szCs w:val="20"/>
              </w:rPr>
              <w:t>Intrări în stația de transfer:</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Reziduuri și digestat stabilizat din deșeuri reziduale de la instalația de tratare mecano-biologică;</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Deșeuri reciclabile colectate separat din zona 1 (fără Municipiul Galați);</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Deșeuri textile colectate separat din zona 1 (fără Municipiul Galați);</w:t>
            </w:r>
          </w:p>
          <w:p>
            <w:pPr>
              <w:pStyle w:val="ListParagraph"/>
              <w:numPr>
                <w:ilvl w:val="0"/>
                <w:numId w:val="15"/>
              </w:numPr>
              <w:rPr>
                <w:rFonts w:ascii="Verdana" w:hAnsi="Verdana"/>
                <w:color w:val="000000" w:themeColor="text1"/>
              </w:rPr>
            </w:pPr>
            <w:r>
              <w:rPr>
                <w:rFonts w:ascii="Verdana" w:hAnsi="Verdana" w:cs="Arial"/>
                <w:bCs/>
                <w:iCs/>
                <w:color w:val="000000" w:themeColor="text1"/>
                <w:lang w:bidi="ne-NP"/>
              </w:rPr>
              <w:t>Deșeuri voluminoase colectate separat din zona 1 (fără Municipiul Galați);</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Deșeuri menajere periculoase colectate separat din zona 1 (cu excepția Mun. Galați (doar pentru stocare temporară).</w:t>
            </w:r>
          </w:p>
          <w:p>
            <w:pPr>
              <w:pStyle w:val="Heading2"/>
              <w:numPr>
                <w:ilvl w:val="0"/>
                <w:numId w:val="0"/>
              </w:numPr>
              <w:ind w:left="851" w:hanging="851"/>
              <w:outlineLvl w:val="1"/>
              <w:rPr>
                <w:rFonts w:ascii="Verdana" w:hAnsi="Verdana"/>
                <w:b/>
                <w:bCs w:val="0"/>
                <w:color w:val="000000" w:themeColor="text1"/>
                <w:szCs w:val="20"/>
              </w:rPr>
            </w:pPr>
            <w:r>
              <w:rPr>
                <w:rFonts w:ascii="Verdana" w:hAnsi="Verdana"/>
                <w:b/>
                <w:bCs w:val="0"/>
                <w:color w:val="000000" w:themeColor="text1"/>
                <w:szCs w:val="20"/>
              </w:rPr>
              <w:t>Ieșiri din stația de transfer:</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Reziduuri și digestat stabilizat din deșeuri reziduale – către depozitul de deșeuri Valea Mărului;</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Deșeuri reciclabile – către stația de sortare Valea Mărului;</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Deșeuri textile – către hala fluxuri speciale Tecuci;</w:t>
            </w:r>
          </w:p>
          <w:p>
            <w:pPr>
              <w:pStyle w:val="Heading2"/>
              <w:numPr>
                <w:ilvl w:val="0"/>
                <w:numId w:val="15"/>
              </w:numPr>
              <w:outlineLvl w:val="1"/>
              <w:rPr>
                <w:rFonts w:ascii="Verdana" w:hAnsi="Verdana"/>
                <w:color w:val="000000" w:themeColor="text1"/>
                <w:szCs w:val="20"/>
              </w:rPr>
            </w:pPr>
            <w:r>
              <w:rPr>
                <w:rFonts w:ascii="Verdana" w:hAnsi="Verdana"/>
                <w:color w:val="000000" w:themeColor="text1"/>
                <w:szCs w:val="20"/>
              </w:rPr>
              <w:t>Deșeuri voluminoase - către hala fluxuri speciale Tecuci;</w:t>
            </w:r>
          </w:p>
          <w:p>
            <w:pPr>
              <w:pStyle w:val="Heading2"/>
              <w:numPr>
                <w:ilvl w:val="0"/>
                <w:numId w:val="15"/>
              </w:numPr>
              <w:outlineLvl w:val="1"/>
              <w:rPr>
                <w:rFonts w:ascii="Verdana" w:hAnsi="Verdana"/>
                <w:color w:val="000000" w:themeColor="text1"/>
                <w:szCs w:val="20"/>
              </w:rPr>
            </w:pP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lastRenderedPageBreak/>
              <w:t>bbbb)</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Perioada de Mobilizare pentru operare</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 xml:space="preserve">90 de zile  </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cccc)</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Perioada de Operare</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10 ani / 120 luni</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 xml:space="preserve">aaaaa) </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Sector</w:t>
            </w:r>
          </w:p>
        </w:tc>
        <w:tc>
          <w:tcPr>
            <w:tcW w:w="4215" w:type="dxa"/>
            <w:shd w:val="clear" w:color="auto" w:fill="FFFFFF" w:themeFill="background1"/>
          </w:tcPr>
          <w:p>
            <w:pPr>
              <w:rPr>
                <w:rFonts w:ascii="Verdana" w:hAnsi="Verdana"/>
              </w:rPr>
            </w:pPr>
            <w:r>
              <w:rPr>
                <w:rStyle w:val="normaltextrun"/>
                <w:rFonts w:ascii="Verdana" w:hAnsi="Verdana" w:cs="Calibri"/>
                <w:color w:val="000000" w:themeColor="text1"/>
                <w:lang w:val="co-FR"/>
              </w:rPr>
              <w:t>Sunt definite 4 sectoare de lucrari:</w:t>
            </w:r>
          </w:p>
          <w:p>
            <w:pPr>
              <w:rPr>
                <w:rFonts w:ascii="Verdana" w:hAnsi="Verdana"/>
              </w:rPr>
            </w:pPr>
            <w:r>
              <w:rPr>
                <w:rFonts w:ascii="Verdana" w:hAnsi="Verdana"/>
              </w:rPr>
              <w:t>Sector 1 - Staţia de Transfer</w:t>
            </w:r>
          </w:p>
          <w:p>
            <w:pPr>
              <w:rPr>
                <w:rFonts w:ascii="Verdana" w:hAnsi="Verdana"/>
              </w:rPr>
            </w:pPr>
            <w:r>
              <w:rPr>
                <w:rFonts w:ascii="Verdana" w:hAnsi="Verdana"/>
              </w:rPr>
              <w:t>Sector 2 - Stația de tratare mecanica</w:t>
            </w:r>
          </w:p>
          <w:p>
            <w:pPr>
              <w:rPr>
                <w:rFonts w:ascii="Verdana" w:hAnsi="Verdana"/>
              </w:rPr>
            </w:pPr>
            <w:r>
              <w:rPr>
                <w:rFonts w:ascii="Verdana" w:hAnsi="Verdana"/>
              </w:rPr>
              <w:t>Sector 3 - Stația de digestie anaerobă</w:t>
            </w:r>
          </w:p>
          <w:p>
            <w:pPr>
              <w:pStyle w:val="Heading2"/>
              <w:numPr>
                <w:ilvl w:val="0"/>
                <w:numId w:val="0"/>
              </w:numPr>
              <w:outlineLvl w:val="1"/>
              <w:rPr>
                <w:rFonts w:ascii="Verdana" w:hAnsi="Verdana"/>
                <w:i/>
                <w:iCs w:val="0"/>
                <w:color w:val="000000" w:themeColor="text1"/>
                <w:szCs w:val="20"/>
              </w:rPr>
            </w:pPr>
            <w:r>
              <w:rPr>
                <w:rFonts w:ascii="Verdana" w:hAnsi="Verdana"/>
              </w:rPr>
              <w:t>Sector 4 - Stația de compostare a digestatului</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bbbbb)</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Serviciile de Operare</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Serviciile de Operare sunt compuse din următoarele activități specifice serviciului public de salubrizare a localităților:</w:t>
            </w:r>
          </w:p>
          <w:p>
            <w:pPr>
              <w:pStyle w:val="Heading5"/>
              <w:tabs>
                <w:tab w:val="clear" w:pos="2552"/>
              </w:tabs>
              <w:ind w:left="421" w:hanging="397"/>
              <w:outlineLvl w:val="4"/>
              <w:rPr>
                <w:rFonts w:ascii="Verdana" w:hAnsi="Verdana"/>
                <w:color w:val="000000" w:themeColor="text1"/>
              </w:rPr>
            </w:pPr>
            <w:r>
              <w:rPr>
                <w:rFonts w:ascii="Verdana" w:hAnsi="Verdana"/>
                <w:color w:val="000000" w:themeColor="text1"/>
              </w:rPr>
              <w:t xml:space="preserve">tratarea anaerobă a biodeșeurilor colectate separat în instalații de digestie anaerobă la TMB Galați; tratarea mecanobiologică a </w:t>
            </w:r>
            <w:r>
              <w:rPr>
                <w:rFonts w:ascii="Verdana" w:hAnsi="Verdana"/>
                <w:color w:val="000000" w:themeColor="text1"/>
              </w:rPr>
              <w:lastRenderedPageBreak/>
              <w:t>deșeurilor reziduale în instalația de tratare mecanobiologică TMB Galați, inclusiv transportul RDF către instalații de valorificare energetică; transportul separat al deșeurilor reziduale și digestatului stabilizat la depozitul Valea Mărului, , transportul deșeurilor de hârtie, metal, plastic și sticlă colectate separat la stația de sortare Valea Mărului, transportul deșeurilor textile și voluminoase la hala fluxuri speciale Tecuci.</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lastRenderedPageBreak/>
              <w:t>iiiii)</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Numele și adresa Supervizorului</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CONSITRANS S.R.L.</w:t>
            </w:r>
          </w:p>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Str. Polonă nr. 56, București</w:t>
            </w:r>
          </w:p>
        </w:tc>
      </w:tr>
      <w:tr>
        <w:tc>
          <w:tcPr>
            <w:tcW w:w="9062" w:type="dxa"/>
            <w:gridSpan w:val="3"/>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Clauza 2 - Limba Contractului</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2.1</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Limba Contractului</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limba română</w:t>
            </w:r>
          </w:p>
        </w:tc>
      </w:tr>
      <w:tr>
        <w:tc>
          <w:tcPr>
            <w:tcW w:w="9062" w:type="dxa"/>
            <w:gridSpan w:val="3"/>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Clauza 8 - Furnizarea Documentelor Beneficiarului</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8.4</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perioada de studiere a Cerințelor Beneficiarului</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90 de zile de la Data de Începere</w:t>
            </w:r>
          </w:p>
        </w:tc>
      </w:tr>
      <w:tr>
        <w:tc>
          <w:tcPr>
            <w:tcW w:w="9062" w:type="dxa"/>
            <w:gridSpan w:val="3"/>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Clauza 10a - Delegarea gestiunii Serviciilor de Operare</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10a.11</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valoarea și termenele de plată a Redevenței</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Redevența ce va fi plătită Consiliului Județean Galați, în fiecare an, are valoarea:</w:t>
            </w:r>
          </w:p>
          <w:tbl>
            <w:tblPr>
              <w:tblStyle w:val="TableGrid"/>
              <w:tblW w:w="5000" w:type="pct"/>
              <w:tblLook w:val="04A0" w:firstRow="1" w:lastRow="0" w:firstColumn="1" w:lastColumn="0" w:noHBand="0" w:noVBand="1"/>
            </w:tblPr>
            <w:tblGrid>
              <w:gridCol w:w="1606"/>
              <w:gridCol w:w="2485"/>
            </w:tblGrid>
            <w:tr>
              <w:trPr>
                <w:cnfStyle w:val="100000000000" w:firstRow="1" w:lastRow="0" w:firstColumn="0" w:lastColumn="0" w:oddVBand="0" w:evenVBand="0" w:oddHBand="0" w:evenHBand="0" w:firstRowFirstColumn="0" w:firstRowLastColumn="0" w:lastRowFirstColumn="0" w:lastRowLastColumn="0"/>
              </w:trPr>
              <w:tc>
                <w:tcPr>
                  <w:tcW w:w="1963" w:type="pct"/>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Anul de operare</w:t>
                  </w:r>
                </w:p>
              </w:tc>
              <w:tc>
                <w:tcPr>
                  <w:tcW w:w="3037" w:type="pct"/>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Total redevență (lei/an)</w:t>
                  </w:r>
                </w:p>
              </w:tc>
            </w:tr>
            <w:tr>
              <w:tc>
                <w:tcPr>
                  <w:tcW w:w="1963"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1</w:t>
                  </w:r>
                </w:p>
              </w:tc>
              <w:tc>
                <w:tcPr>
                  <w:tcW w:w="3037"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6.260.105</w:t>
                  </w:r>
                </w:p>
              </w:tc>
            </w:tr>
            <w:tr>
              <w:tc>
                <w:tcPr>
                  <w:tcW w:w="1963"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2</w:t>
                  </w:r>
                </w:p>
              </w:tc>
              <w:tc>
                <w:tcPr>
                  <w:tcW w:w="3037"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7.080.148</w:t>
                  </w:r>
                </w:p>
              </w:tc>
            </w:tr>
            <w:tr>
              <w:tc>
                <w:tcPr>
                  <w:tcW w:w="1963"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3</w:t>
                  </w:r>
                </w:p>
              </w:tc>
              <w:tc>
                <w:tcPr>
                  <w:tcW w:w="3037"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8.138.795</w:t>
                  </w:r>
                </w:p>
              </w:tc>
            </w:tr>
            <w:tr>
              <w:tc>
                <w:tcPr>
                  <w:tcW w:w="1963"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4</w:t>
                  </w:r>
                </w:p>
              </w:tc>
              <w:tc>
                <w:tcPr>
                  <w:tcW w:w="3037"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9.200.868</w:t>
                  </w:r>
                </w:p>
              </w:tc>
            </w:tr>
            <w:tr>
              <w:tc>
                <w:tcPr>
                  <w:tcW w:w="1963"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5</w:t>
                  </w:r>
                </w:p>
              </w:tc>
              <w:tc>
                <w:tcPr>
                  <w:tcW w:w="3037"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9.748.835</w:t>
                  </w:r>
                </w:p>
              </w:tc>
            </w:tr>
            <w:tr>
              <w:tc>
                <w:tcPr>
                  <w:tcW w:w="1963"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6</w:t>
                  </w:r>
                </w:p>
              </w:tc>
              <w:tc>
                <w:tcPr>
                  <w:tcW w:w="3037"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10.593.569</w:t>
                  </w:r>
                </w:p>
              </w:tc>
            </w:tr>
            <w:tr>
              <w:tc>
                <w:tcPr>
                  <w:tcW w:w="1963"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7</w:t>
                  </w:r>
                </w:p>
              </w:tc>
              <w:tc>
                <w:tcPr>
                  <w:tcW w:w="3037"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11.145.344</w:t>
                  </w:r>
                </w:p>
              </w:tc>
            </w:tr>
            <w:tr>
              <w:tc>
                <w:tcPr>
                  <w:tcW w:w="1963"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8</w:t>
                  </w:r>
                </w:p>
              </w:tc>
              <w:tc>
                <w:tcPr>
                  <w:tcW w:w="3037"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11.706.670</w:t>
                  </w:r>
                </w:p>
              </w:tc>
            </w:tr>
            <w:tr>
              <w:tc>
                <w:tcPr>
                  <w:tcW w:w="1963"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9</w:t>
                  </w:r>
                </w:p>
              </w:tc>
              <w:tc>
                <w:tcPr>
                  <w:tcW w:w="3037"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12.277.892</w:t>
                  </w:r>
                </w:p>
              </w:tc>
            </w:tr>
            <w:tr>
              <w:tc>
                <w:tcPr>
                  <w:tcW w:w="1963"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10</w:t>
                  </w:r>
                </w:p>
              </w:tc>
              <w:tc>
                <w:tcPr>
                  <w:tcW w:w="3037" w:type="pct"/>
                  <w:vAlign w:val="center"/>
                </w:tcPr>
                <w:p>
                  <w:pPr>
                    <w:pStyle w:val="Heading2"/>
                    <w:numPr>
                      <w:ilvl w:val="0"/>
                      <w:numId w:val="0"/>
                    </w:numPr>
                    <w:jc w:val="center"/>
                    <w:outlineLvl w:val="1"/>
                    <w:rPr>
                      <w:rFonts w:ascii="Verdana" w:hAnsi="Verdana"/>
                      <w:color w:val="000000" w:themeColor="text1"/>
                      <w:szCs w:val="20"/>
                    </w:rPr>
                  </w:pPr>
                  <w:r>
                    <w:rPr>
                      <w:rFonts w:ascii="Verdana" w:hAnsi="Verdana"/>
                      <w:color w:val="000000" w:themeColor="text1"/>
                      <w:szCs w:val="20"/>
                    </w:rPr>
                    <w:t>12.859.365</w:t>
                  </w:r>
                </w:p>
              </w:tc>
            </w:tr>
          </w:tbl>
          <w:p>
            <w:pPr>
              <w:pStyle w:val="Heading2"/>
              <w:numPr>
                <w:ilvl w:val="0"/>
                <w:numId w:val="0"/>
              </w:numPr>
              <w:outlineLvl w:val="1"/>
              <w:rPr>
                <w:rFonts w:ascii="Verdana" w:hAnsi="Verdana"/>
                <w:color w:val="000000" w:themeColor="text1"/>
                <w:szCs w:val="20"/>
              </w:rPr>
            </w:pPr>
          </w:p>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Redevența va fi plătită în tranșe trimestriale, până la data de 15 a lunii următoare sfârșitului de trimestru</w:t>
            </w:r>
          </w:p>
          <w:p>
            <w:pPr>
              <w:pStyle w:val="Heading2"/>
              <w:numPr>
                <w:ilvl w:val="0"/>
                <w:numId w:val="0"/>
              </w:numPr>
              <w:outlineLvl w:val="1"/>
              <w:rPr>
                <w:rFonts w:ascii="Verdana" w:hAnsi="Verdana"/>
                <w:color w:val="000000" w:themeColor="text1"/>
                <w:szCs w:val="20"/>
              </w:rPr>
            </w:pP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10a.11</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suma restantă cu titlu de Redevență care atrage rezilierea Contractului</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 xml:space="preserve"> Mai mult de 15.000.000 lei din valoarea contractului </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lastRenderedPageBreak/>
              <w:t>10a.11</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frecvența de ajustare a Redevenței</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Redevență se va ajusta anual cu IPC Total comunicat de INS</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10a.11</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formula și parametrul de ajustare a Redevenței</w:t>
            </w:r>
          </w:p>
        </w:tc>
        <w:tc>
          <w:tcPr>
            <w:tcW w:w="4215" w:type="dxa"/>
            <w:shd w:val="clear" w:color="auto" w:fill="FFFFFF" w:themeFill="background1"/>
          </w:tcPr>
          <w:p>
            <w:pPr>
              <w:pStyle w:val="Heading2"/>
              <w:numPr>
                <w:ilvl w:val="0"/>
                <w:numId w:val="0"/>
              </w:numPr>
              <w:outlineLvl w:val="1"/>
              <w:rPr>
                <w:rFonts w:ascii="Verdana" w:hAnsi="Verdana"/>
                <w:i/>
                <w:color w:val="000000" w:themeColor="text1"/>
                <w:szCs w:val="20"/>
                <w:lang w:val="pt-BR"/>
              </w:rPr>
            </w:pPr>
            <w:r>
              <w:rPr>
                <w:rFonts w:ascii="Verdana" w:hAnsi="Verdana"/>
                <w:i/>
                <w:color w:val="000000" w:themeColor="text1"/>
                <w:szCs w:val="20"/>
              </w:rPr>
              <w:t>Parametrul de ajustare a redevenței este IPC Total; formula de ajustare este:</w:t>
            </w:r>
          </w:p>
          <w:p>
            <w:pPr>
              <w:pStyle w:val="Heading2"/>
              <w:numPr>
                <w:ilvl w:val="0"/>
                <w:numId w:val="0"/>
              </w:numPr>
              <w:outlineLvl w:val="1"/>
              <w:rPr>
                <w:rFonts w:ascii="Verdana" w:hAnsi="Verdana"/>
                <w:i/>
                <w:color w:val="000000" w:themeColor="text1"/>
                <w:szCs w:val="20"/>
              </w:rPr>
            </w:pPr>
            <w:r>
              <w:rPr>
                <w:rFonts w:ascii="Verdana" w:hAnsi="Verdana"/>
                <w:i/>
                <w:color w:val="000000" w:themeColor="text1"/>
                <w:szCs w:val="20"/>
              </w:rPr>
              <w:t>cuantumul ajustat al Redevenței = cuantumul inițial al Redevenței x IPC/100,</w:t>
            </w:r>
          </w:p>
          <w:p>
            <w:pPr>
              <w:pStyle w:val="Heading2"/>
              <w:numPr>
                <w:ilvl w:val="0"/>
                <w:numId w:val="0"/>
              </w:numPr>
              <w:outlineLvl w:val="1"/>
              <w:rPr>
                <w:rFonts w:ascii="Verdana" w:hAnsi="Verdana"/>
                <w:i/>
                <w:color w:val="000000" w:themeColor="text1"/>
                <w:szCs w:val="20"/>
              </w:rPr>
            </w:pPr>
            <w:r>
              <w:rPr>
                <w:rFonts w:ascii="Verdana" w:hAnsi="Verdana"/>
                <w:i/>
                <w:color w:val="000000" w:themeColor="text1"/>
                <w:szCs w:val="20"/>
              </w:rPr>
              <w:t xml:space="preserve">unde IPC este Indicele Prețurilor de Consum Total comunicat de Institutul Național de Statistică </w:t>
            </w:r>
          </w:p>
        </w:tc>
      </w:tr>
      <w:tr>
        <w:tc>
          <w:tcPr>
            <w:tcW w:w="9062" w:type="dxa"/>
            <w:gridSpan w:val="3"/>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Clauza 15 - Garanție de Bună Execuție</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15.1 a)</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valoarea Garanției de Bună Execuție pentru Proiectare și Execuție</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8% din Prețul Proiectării și Execuției, fără TVA</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15.1 b)</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valoarea Garanției de Bună Execuție pentru Serviciile de Operare</w:t>
            </w:r>
          </w:p>
        </w:tc>
        <w:tc>
          <w:tcPr>
            <w:tcW w:w="4215" w:type="dxa"/>
            <w:shd w:val="clear" w:color="auto" w:fill="FFFFFF" w:themeFill="background1"/>
          </w:tcPr>
          <w:p>
            <w:pPr>
              <w:pStyle w:val="Heading2"/>
              <w:numPr>
                <w:ilvl w:val="0"/>
                <w:numId w:val="0"/>
              </w:numPr>
              <w:spacing w:after="100"/>
              <w:outlineLvl w:val="1"/>
              <w:rPr>
                <w:rFonts w:ascii="Verdana" w:hAnsi="Verdana"/>
                <w:color w:val="000000" w:themeColor="text1"/>
                <w:szCs w:val="20"/>
              </w:rPr>
            </w:pPr>
            <w:r>
              <w:rPr>
                <w:rFonts w:ascii="Verdana" w:hAnsi="Verdana"/>
                <w:color w:val="000000" w:themeColor="text1"/>
                <w:szCs w:val="20"/>
              </w:rPr>
              <w:t>8% din Prețul Anual al Serviciilor de Operare, fără TVA</w:t>
            </w:r>
          </w:p>
          <w:p>
            <w:pPr>
              <w:spacing w:after="100"/>
              <w:rPr>
                <w:rFonts w:ascii="Verdana" w:hAnsi="Verdana"/>
                <w:color w:val="000000" w:themeColor="text1"/>
              </w:rPr>
            </w:pPr>
            <w:r>
              <w:rPr>
                <w:rFonts w:ascii="Verdana" w:hAnsi="Verdana"/>
                <w:color w:val="000000" w:themeColor="text1"/>
              </w:rPr>
              <w:t>Valoarea contractului pe 12 luni = ∑Ts x Qs, unde:</w:t>
            </w:r>
          </w:p>
          <w:p>
            <w:pPr>
              <w:spacing w:after="100"/>
              <w:rPr>
                <w:rFonts w:ascii="Verdana" w:hAnsi="Verdana"/>
                <w:color w:val="000000" w:themeColor="text1"/>
              </w:rPr>
            </w:pPr>
            <w:r>
              <w:rPr>
                <w:rFonts w:ascii="Verdana" w:hAnsi="Verdana"/>
                <w:color w:val="000000" w:themeColor="text1"/>
              </w:rPr>
              <w:t xml:space="preserve">Ts = tariful ofertat, exclusiv TVA, exprimat in lei/tona, pentru fiecare serviciu: tarif transfer, tarif tratare mecanica deșeuri reziduale si tarif tratare biodeseuri colectate separat, </w:t>
            </w:r>
          </w:p>
          <w:p>
            <w:pPr>
              <w:spacing w:after="100"/>
              <w:rPr>
                <w:rFonts w:ascii="Verdana" w:hAnsi="Verdana"/>
                <w:color w:val="000000" w:themeColor="text1"/>
              </w:rPr>
            </w:pPr>
            <w:r>
              <w:rPr>
                <w:rFonts w:ascii="Verdana" w:hAnsi="Verdana"/>
                <w:color w:val="000000" w:themeColor="text1"/>
              </w:rPr>
              <w:t>Qs = cantitățile medii anuale de deșeuri’ intrate in stația de transfer și în instalația de tratare a deșeurilor si anume:</w:t>
            </w:r>
          </w:p>
          <w:p>
            <w:pPr>
              <w:spacing w:after="100"/>
              <w:rPr>
                <w:rFonts w:ascii="Verdana" w:hAnsi="Verdana"/>
                <w:color w:val="000000" w:themeColor="text1"/>
              </w:rPr>
            </w:pPr>
            <w:r>
              <w:rPr>
                <w:rFonts w:ascii="Verdana" w:hAnsi="Verdana"/>
                <w:color w:val="000000" w:themeColor="text1"/>
              </w:rPr>
              <w:t>QsTrrec = media anuala a deșeurilor reciclabile in stația de transfer</w:t>
            </w:r>
          </w:p>
          <w:p>
            <w:pPr>
              <w:spacing w:after="100"/>
              <w:rPr>
                <w:rFonts w:ascii="Verdana" w:hAnsi="Verdana"/>
                <w:color w:val="000000" w:themeColor="text1"/>
              </w:rPr>
            </w:pPr>
            <w:r>
              <w:rPr>
                <w:rFonts w:ascii="Verdana" w:hAnsi="Verdana"/>
                <w:color w:val="000000" w:themeColor="text1"/>
              </w:rPr>
              <w:t>QsTrrez = media anuala a deșeurilor reziduale in stația de transfer</w:t>
            </w:r>
          </w:p>
          <w:p>
            <w:pPr>
              <w:spacing w:after="100"/>
              <w:rPr>
                <w:rFonts w:ascii="Verdana" w:hAnsi="Verdana"/>
                <w:color w:val="000000" w:themeColor="text1"/>
              </w:rPr>
            </w:pPr>
            <w:r>
              <w:rPr>
                <w:rFonts w:ascii="Verdana" w:hAnsi="Verdana"/>
                <w:color w:val="000000" w:themeColor="text1"/>
              </w:rPr>
              <w:t>QsTrbio = media anuala a biodeșeurilor in stația de transfer</w:t>
            </w:r>
          </w:p>
          <w:p>
            <w:pPr>
              <w:spacing w:after="100"/>
              <w:rPr>
                <w:rFonts w:ascii="Verdana" w:hAnsi="Verdana"/>
                <w:color w:val="000000" w:themeColor="text1"/>
              </w:rPr>
            </w:pPr>
            <w:r>
              <w:rPr>
                <w:rFonts w:ascii="Verdana" w:hAnsi="Verdana"/>
                <w:color w:val="000000" w:themeColor="text1"/>
              </w:rPr>
              <w:t>QsTM=medie anuala a deșeurilor  reziduale intrate in TMB</w:t>
            </w:r>
          </w:p>
          <w:p>
            <w:pPr>
              <w:spacing w:after="100"/>
              <w:rPr>
                <w:rFonts w:ascii="Verdana" w:hAnsi="Verdana"/>
                <w:color w:val="000000" w:themeColor="text1"/>
              </w:rPr>
            </w:pPr>
            <w:r>
              <w:rPr>
                <w:rFonts w:ascii="Verdana" w:hAnsi="Verdana"/>
                <w:color w:val="000000" w:themeColor="text1"/>
              </w:rPr>
              <w:t>QsTB=medie anuala a biodeșeurilor intrate in TMB</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15.8 a)</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valoarea din Garanția de Bună Execuție pentru Proiectare și Execuție restituită la aprobarea Recepției la Terminarea Lucrărilor</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70%</w:t>
            </w:r>
          </w:p>
        </w:tc>
      </w:tr>
      <w:tr>
        <w:tc>
          <w:tcPr>
            <w:tcW w:w="1476"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15.8 b)</w:t>
            </w:r>
          </w:p>
        </w:tc>
        <w:tc>
          <w:tcPr>
            <w:tcW w:w="3371" w:type="dxa"/>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valoarea din Garanția de Bună Execuție pentru Proiectare și Execuție restituită la aprobarea Recepției Finale</w:t>
            </w:r>
          </w:p>
        </w:tc>
        <w:tc>
          <w:tcPr>
            <w:tcW w:w="4215" w:type="dxa"/>
            <w:shd w:val="clear" w:color="auto" w:fill="FFFFFF" w:themeFill="background1"/>
          </w:tcPr>
          <w:p>
            <w:pPr>
              <w:pStyle w:val="Heading2"/>
              <w:numPr>
                <w:ilvl w:val="0"/>
                <w:numId w:val="0"/>
              </w:numPr>
              <w:outlineLvl w:val="1"/>
              <w:rPr>
                <w:rFonts w:ascii="Verdana" w:hAnsi="Verdana"/>
                <w:color w:val="000000" w:themeColor="text1"/>
                <w:szCs w:val="20"/>
              </w:rPr>
            </w:pPr>
            <w:r>
              <w:rPr>
                <w:rFonts w:ascii="Verdana" w:hAnsi="Verdana"/>
                <w:color w:val="000000" w:themeColor="text1"/>
                <w:szCs w:val="20"/>
              </w:rPr>
              <w:t>30%</w:t>
            </w:r>
          </w:p>
        </w:tc>
      </w:tr>
      <w:tr>
        <w:tc>
          <w:tcPr>
            <w:tcW w:w="1476" w:type="dxa"/>
          </w:tcPr>
          <w:p>
            <w:pPr>
              <w:pStyle w:val="Heading2"/>
              <w:numPr>
                <w:ilvl w:val="0"/>
                <w:numId w:val="0"/>
              </w:numPr>
              <w:outlineLvl w:val="1"/>
              <w:rPr>
                <w:rFonts w:ascii="Verdana" w:hAnsi="Verdana"/>
                <w:szCs w:val="20"/>
              </w:rPr>
            </w:pPr>
            <w:r>
              <w:rPr>
                <w:rFonts w:ascii="Verdana" w:hAnsi="Verdana"/>
                <w:szCs w:val="20"/>
              </w:rPr>
              <w:lastRenderedPageBreak/>
              <w:t xml:space="preserve">15.8 c) </w:t>
            </w:r>
          </w:p>
        </w:tc>
        <w:tc>
          <w:tcPr>
            <w:tcW w:w="3371" w:type="dxa"/>
          </w:tcPr>
          <w:p>
            <w:pPr>
              <w:pStyle w:val="Heading2"/>
              <w:numPr>
                <w:ilvl w:val="0"/>
                <w:numId w:val="0"/>
              </w:numPr>
              <w:outlineLvl w:val="1"/>
              <w:rPr>
                <w:rFonts w:ascii="Verdana" w:hAnsi="Verdana"/>
                <w:szCs w:val="20"/>
              </w:rPr>
            </w:pPr>
            <w:r>
              <w:rPr>
                <w:rFonts w:ascii="Verdana" w:hAnsi="Verdana"/>
                <w:szCs w:val="20"/>
              </w:rPr>
              <w:t>valoarea Garanției de Bună Execuție pentru Serviciile de Operare restituită la emiterea Certificatului de Finalizare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 xml:space="preserve">100% </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Clauza 16 - Responsabilități și asigurări</w:t>
            </w:r>
          </w:p>
        </w:tc>
      </w:tr>
      <w:tr>
        <w:tc>
          <w:tcPr>
            <w:tcW w:w="1476" w:type="dxa"/>
          </w:tcPr>
          <w:p>
            <w:pPr>
              <w:pStyle w:val="Heading2"/>
              <w:numPr>
                <w:ilvl w:val="0"/>
                <w:numId w:val="0"/>
              </w:numPr>
              <w:outlineLvl w:val="1"/>
              <w:rPr>
                <w:rFonts w:ascii="Verdana" w:hAnsi="Verdana"/>
                <w:szCs w:val="20"/>
              </w:rPr>
            </w:pPr>
            <w:r>
              <w:rPr>
                <w:rFonts w:ascii="Verdana" w:hAnsi="Verdana"/>
                <w:szCs w:val="20"/>
              </w:rPr>
              <w:t>16.2 b) (i)</w:t>
            </w:r>
          </w:p>
        </w:tc>
        <w:tc>
          <w:tcPr>
            <w:tcW w:w="3371" w:type="dxa"/>
          </w:tcPr>
          <w:p>
            <w:pPr>
              <w:pStyle w:val="Heading2"/>
              <w:numPr>
                <w:ilvl w:val="0"/>
                <w:numId w:val="0"/>
              </w:numPr>
              <w:outlineLvl w:val="1"/>
              <w:rPr>
                <w:rFonts w:ascii="Verdana" w:hAnsi="Verdana"/>
                <w:szCs w:val="20"/>
              </w:rPr>
            </w:pPr>
            <w:r>
              <w:rPr>
                <w:rFonts w:ascii="Verdana" w:hAnsi="Verdana"/>
                <w:szCs w:val="20"/>
              </w:rPr>
              <w:t>limite de acoperire a asigurării pentru daune aduse terților (Proiectare și Execuție)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limitele valabile pentru asigurarea obligatorie de răspundere civilă auto potrivit reglementărilor Uniunii Europene</w:t>
            </w:r>
          </w:p>
        </w:tc>
      </w:tr>
      <w:tr>
        <w:tc>
          <w:tcPr>
            <w:tcW w:w="1476" w:type="dxa"/>
          </w:tcPr>
          <w:p>
            <w:pPr>
              <w:pStyle w:val="Heading2"/>
              <w:numPr>
                <w:ilvl w:val="0"/>
                <w:numId w:val="0"/>
              </w:numPr>
              <w:outlineLvl w:val="1"/>
              <w:rPr>
                <w:rFonts w:ascii="Verdana" w:hAnsi="Verdana"/>
                <w:szCs w:val="20"/>
              </w:rPr>
            </w:pPr>
            <w:r>
              <w:rPr>
                <w:rFonts w:ascii="Verdana" w:hAnsi="Verdana"/>
                <w:szCs w:val="20"/>
              </w:rPr>
              <w:t>16.2 b) (ii)</w:t>
            </w:r>
          </w:p>
        </w:tc>
        <w:tc>
          <w:tcPr>
            <w:tcW w:w="3371" w:type="dxa"/>
          </w:tcPr>
          <w:p>
            <w:pPr>
              <w:pStyle w:val="Heading2"/>
              <w:numPr>
                <w:ilvl w:val="0"/>
                <w:numId w:val="0"/>
              </w:numPr>
              <w:outlineLvl w:val="1"/>
              <w:rPr>
                <w:rFonts w:ascii="Verdana" w:hAnsi="Verdana"/>
                <w:szCs w:val="20"/>
              </w:rPr>
            </w:pPr>
            <w:r>
              <w:rPr>
                <w:rFonts w:ascii="Verdana" w:hAnsi="Verdana"/>
                <w:szCs w:val="20"/>
              </w:rPr>
              <w:t>limite de acoperire a asigurării pentru daune aduse Lucrărilor (Proiectare și Execuție) - franșiză</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[nu/</w:t>
            </w:r>
            <w:r>
              <w:rPr>
                <w:rFonts w:ascii="Verdana" w:hAnsi="Verdana"/>
                <w:i/>
                <w:iCs w:val="0"/>
                <w:szCs w:val="20"/>
              </w:rPr>
              <w:t>(se va completa de către Beneficiar, la momentul elaborării documentației de atribuire)</w:t>
            </w:r>
            <w:r>
              <w:rPr>
                <w:rFonts w:ascii="Verdana" w:hAnsi="Verdana"/>
                <w:szCs w:val="20"/>
              </w:rPr>
              <w:t>]</w:t>
            </w:r>
          </w:p>
        </w:tc>
      </w:tr>
      <w:tr>
        <w:tc>
          <w:tcPr>
            <w:tcW w:w="1476" w:type="dxa"/>
          </w:tcPr>
          <w:p>
            <w:pPr>
              <w:pStyle w:val="Heading2"/>
              <w:numPr>
                <w:ilvl w:val="0"/>
                <w:numId w:val="0"/>
              </w:numPr>
              <w:outlineLvl w:val="1"/>
              <w:rPr>
                <w:rFonts w:ascii="Verdana" w:hAnsi="Verdana"/>
                <w:szCs w:val="20"/>
              </w:rPr>
            </w:pPr>
            <w:r>
              <w:rPr>
                <w:rFonts w:ascii="Verdana" w:hAnsi="Verdana"/>
                <w:szCs w:val="20"/>
              </w:rPr>
              <w:t>16.2 b) (ii)</w:t>
            </w:r>
          </w:p>
        </w:tc>
        <w:tc>
          <w:tcPr>
            <w:tcW w:w="3371" w:type="dxa"/>
          </w:tcPr>
          <w:p>
            <w:pPr>
              <w:pStyle w:val="Heading2"/>
              <w:numPr>
                <w:ilvl w:val="0"/>
                <w:numId w:val="0"/>
              </w:numPr>
              <w:outlineLvl w:val="1"/>
              <w:rPr>
                <w:rFonts w:ascii="Verdana" w:hAnsi="Verdana"/>
                <w:szCs w:val="20"/>
              </w:rPr>
            </w:pPr>
            <w:r>
              <w:rPr>
                <w:rFonts w:ascii="Verdana" w:hAnsi="Verdana"/>
                <w:szCs w:val="20"/>
              </w:rPr>
              <w:t>limite de acoperire a asigurării pentru daune aduse Lucrărilor (Proiectare și Execuție) – procentul suplimentar din valoarea de înlocuire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15%</w:t>
            </w:r>
          </w:p>
        </w:tc>
      </w:tr>
      <w:tr>
        <w:tc>
          <w:tcPr>
            <w:tcW w:w="1476" w:type="dxa"/>
          </w:tcPr>
          <w:p>
            <w:pPr>
              <w:pStyle w:val="Heading2"/>
              <w:numPr>
                <w:ilvl w:val="0"/>
                <w:numId w:val="0"/>
              </w:numPr>
              <w:outlineLvl w:val="1"/>
              <w:rPr>
                <w:rFonts w:ascii="Verdana" w:hAnsi="Verdana"/>
                <w:szCs w:val="20"/>
              </w:rPr>
            </w:pPr>
            <w:r>
              <w:rPr>
                <w:rFonts w:ascii="Verdana" w:hAnsi="Verdana"/>
                <w:szCs w:val="20"/>
              </w:rPr>
              <w:t>16.2 b) (ii)</w:t>
            </w:r>
          </w:p>
        </w:tc>
        <w:tc>
          <w:tcPr>
            <w:tcW w:w="3371" w:type="dxa"/>
          </w:tcPr>
          <w:p>
            <w:pPr>
              <w:pStyle w:val="Heading2"/>
              <w:numPr>
                <w:ilvl w:val="0"/>
                <w:numId w:val="0"/>
              </w:numPr>
              <w:outlineLvl w:val="1"/>
              <w:rPr>
                <w:rFonts w:ascii="Verdana" w:hAnsi="Verdana"/>
                <w:szCs w:val="20"/>
              </w:rPr>
            </w:pPr>
            <w:r>
              <w:rPr>
                <w:rFonts w:ascii="Verdana" w:hAnsi="Verdana"/>
                <w:szCs w:val="20"/>
              </w:rPr>
              <w:t>limite de acoperire a asigurării pentru daune aduse Lucrărilor (Proiectare și Execuție) – suma  suplimentară față de valoarea de înlocuire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nu</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16.2 b (ii)</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limite de acoperire a asigurării pentru daune aduse Lucrărilor (Proiectare și Execuție) – excluderea Riscurilor Beneficiarului</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nu</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16.2 c) (i)</w:t>
            </w:r>
          </w:p>
        </w:tc>
        <w:tc>
          <w:tcPr>
            <w:tcW w:w="3371" w:type="dxa"/>
            <w:shd w:val="clear" w:color="auto" w:fill="FFFFFF" w:themeFill="background1"/>
          </w:tcPr>
          <w:p>
            <w:pPr>
              <w:pStyle w:val="Heading2"/>
              <w:numPr>
                <w:ilvl w:val="0"/>
                <w:numId w:val="0"/>
              </w:numPr>
              <w:outlineLvl w:val="1"/>
              <w:rPr>
                <w:rFonts w:ascii="Verdana" w:hAnsi="Verdana"/>
                <w:b/>
                <w:bCs w:val="0"/>
                <w:szCs w:val="20"/>
              </w:rPr>
            </w:pPr>
            <w:r>
              <w:rPr>
                <w:rFonts w:ascii="Verdana" w:hAnsi="Verdana"/>
                <w:szCs w:val="20"/>
              </w:rPr>
              <w:t>limite de acoperire a asigurării pentru daune aduse terților (Servicii de Operare)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limitele valabile pentru asigurarea obligatorie de răspundere civilă auto potrivit reglementărilor Uniunii Europene</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16.2 c) (ii)</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limite de acoperire a asigurării pentru daune aduse Lucrărilor (Servicii de Operare) – extindere a acoperirii la incendii și alte evenimente naturale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nu</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16.2 c) (vi)</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alte asigurări în legătură cu Serviciile de Operare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nu</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Clauza 17 - Programul de Execuție</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17.6</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sumă reținută pentru întârzierea transmiterii Programului de Execuție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4.000 lei pe zi</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Clauza 19 - Proiectarea de către Antreprenor</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19.3 a)</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termenul de elaborare a proiectului tehnic și transmitere către Supervizor</w:t>
            </w:r>
          </w:p>
        </w:tc>
        <w:tc>
          <w:tcPr>
            <w:tcW w:w="4215" w:type="dxa"/>
            <w:shd w:val="clear" w:color="auto" w:fill="FFFFFF" w:themeFill="background1"/>
          </w:tcPr>
          <w:p>
            <w:pPr>
              <w:pStyle w:val="Heading2"/>
              <w:numPr>
                <w:ilvl w:val="0"/>
                <w:numId w:val="0"/>
              </w:numPr>
              <w:outlineLvl w:val="1"/>
              <w:rPr>
                <w:rFonts w:ascii="Verdana" w:hAnsi="Verdana"/>
                <w:i/>
                <w:iCs w:val="0"/>
                <w:szCs w:val="20"/>
              </w:rPr>
            </w:pPr>
            <w:r>
              <w:rPr>
                <w:rFonts w:ascii="Verdana" w:hAnsi="Verdana"/>
                <w:i/>
                <w:iCs w:val="0"/>
                <w:szCs w:val="20"/>
              </w:rPr>
              <w:t xml:space="preserve">120 de zile </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lastRenderedPageBreak/>
              <w:t>19.3 b)</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termenul de obținere a autorizației de construire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180 de zile</w:t>
            </w:r>
          </w:p>
        </w:tc>
      </w:tr>
      <w:tr>
        <w:tc>
          <w:tcPr>
            <w:tcW w:w="9062" w:type="dxa"/>
            <w:gridSpan w:val="3"/>
            <w:shd w:val="clear" w:color="auto" w:fill="FFFFFF" w:themeFill="background1"/>
          </w:tcPr>
          <w:p>
            <w:pPr>
              <w:pStyle w:val="Heading2"/>
              <w:numPr>
                <w:ilvl w:val="0"/>
                <w:numId w:val="0"/>
              </w:numPr>
              <w:outlineLvl w:val="1"/>
              <w:rPr>
                <w:rFonts w:ascii="Verdana" w:hAnsi="Verdana"/>
                <w:szCs w:val="20"/>
                <w:highlight w:val="yellow"/>
              </w:rPr>
            </w:pPr>
            <w:r>
              <w:rPr>
                <w:rFonts w:ascii="Verdana" w:hAnsi="Verdana"/>
                <w:szCs w:val="20"/>
              </w:rPr>
              <w:t>Clauza 35b – Perioada de Operare și Serviciile de Operare</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35b.5</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Auditorul desemnat pentru realizarea Auditului Independent de Conformitate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Agenția de Audit Financiar AFIL SRL</w:t>
            </w:r>
          </w:p>
          <w:p>
            <w:pPr>
              <w:pStyle w:val="Heading2"/>
              <w:numPr>
                <w:ilvl w:val="0"/>
                <w:numId w:val="0"/>
              </w:numPr>
              <w:outlineLvl w:val="1"/>
              <w:rPr>
                <w:rFonts w:ascii="Verdana" w:hAnsi="Verdana"/>
                <w:szCs w:val="20"/>
              </w:rPr>
            </w:pPr>
            <w:r>
              <w:rPr>
                <w:rFonts w:ascii="Verdana" w:hAnsi="Verdana"/>
                <w:szCs w:val="20"/>
              </w:rPr>
              <w:t>Str. I.C. Brătianu nr. 1, Botoșani</w:t>
            </w:r>
          </w:p>
          <w:p>
            <w:pPr>
              <w:pStyle w:val="Heading2"/>
              <w:numPr>
                <w:ilvl w:val="0"/>
                <w:numId w:val="0"/>
              </w:numPr>
              <w:outlineLvl w:val="1"/>
              <w:rPr>
                <w:rFonts w:ascii="Verdana" w:hAnsi="Verdana"/>
                <w:szCs w:val="20"/>
              </w:rPr>
            </w:pP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35b.7</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valoarea maximă a penalităților pentru nerealizarea Indicatorilor de Performanță, a cărei depășire îndreptățește Beneficiarul să aplice remedii</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10% din valoarea anuala a activității pentru care nu a îndeplinit indicatorii de performanță.</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35b.7</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perioada maximă de timp în care durează nerealizarea de către Antreprenor a Indicatorilor de Performanță din cauze în responsabilitatea Antreprenorului, după trecerea căreia Beneficiarul este îndreptățit să aplice remedii</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90 de zile</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35b.7</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Indicatorii de Performanță, valorile minime ale Indicatorilor de Performanță și penalitățile pentru nerealizarea Indicatorilor de Performanță</w:t>
            </w:r>
          </w:p>
        </w:tc>
        <w:tc>
          <w:tcPr>
            <w:tcW w:w="4215" w:type="dxa"/>
            <w:shd w:val="clear" w:color="auto" w:fill="FFFFFF" w:themeFill="background1"/>
          </w:tcPr>
          <w:p>
            <w:pPr>
              <w:shd w:val="clear" w:color="auto" w:fill="FFFFFF" w:themeFill="background1"/>
              <w:ind w:right="-81"/>
              <w:jc w:val="both"/>
              <w:rPr>
                <w:rFonts w:ascii="Verdana" w:hAnsi="Verdana"/>
                <w:b/>
                <w:i/>
                <w:iCs/>
              </w:rPr>
            </w:pPr>
            <w:r>
              <w:rPr>
                <w:rFonts w:ascii="Verdana" w:hAnsi="Verdana" w:cs="Arial"/>
                <w:b/>
                <w:i/>
                <w:iCs/>
              </w:rPr>
              <w:t>I.1 Eficiență în operarea TMB – linia mecanică</w:t>
            </w:r>
          </w:p>
          <w:p>
            <w:pPr>
              <w:pStyle w:val="Heading2"/>
              <w:numPr>
                <w:ilvl w:val="0"/>
                <w:numId w:val="0"/>
              </w:numPr>
              <w:shd w:val="clear" w:color="auto" w:fill="FFFFFF" w:themeFill="background1"/>
              <w:jc w:val="both"/>
              <w:outlineLvl w:val="1"/>
              <w:rPr>
                <w:rFonts w:ascii="Verdana" w:hAnsi="Verdana"/>
                <w:b/>
                <w:szCs w:val="20"/>
              </w:rPr>
            </w:pPr>
          </w:p>
          <w:p>
            <w:pPr>
              <w:shd w:val="clear" w:color="auto" w:fill="FFFFFF" w:themeFill="background1"/>
              <w:jc w:val="both"/>
              <w:rPr>
                <w:rFonts w:ascii="Verdana" w:hAnsi="Verdana" w:cs="Arial"/>
                <w:b/>
                <w:bCs/>
              </w:rPr>
            </w:pPr>
            <w:r>
              <w:rPr>
                <w:rFonts w:ascii="Verdana" w:hAnsi="Verdana" w:cs="Arial"/>
                <w:b/>
                <w:bCs/>
              </w:rPr>
              <w:t>I.1.1 Cantitatea totală de deșeuri reciclabile (hârtie, carton, metal, sticlă) trimise anual la reciclare ca procent din cantitatea de deșeuri reziduale și reziduuri de sortare și compostare acceptate la intrarea în instalația TMB</w:t>
            </w:r>
          </w:p>
          <w:p>
            <w:pPr>
              <w:shd w:val="clear" w:color="auto" w:fill="FFFFFF" w:themeFill="background1"/>
              <w:jc w:val="both"/>
              <w:rPr>
                <w:rFonts w:ascii="Verdana" w:hAnsi="Verdana" w:cs="Arial"/>
                <w:b/>
                <w:bCs/>
              </w:rPr>
            </w:pPr>
          </w:p>
          <w:p>
            <w:pPr>
              <w:shd w:val="clear" w:color="auto" w:fill="FFFFFF" w:themeFill="background1"/>
              <w:jc w:val="both"/>
              <w:rPr>
                <w:rFonts w:ascii="Verdana" w:hAnsi="Verdana" w:cs="Arial"/>
              </w:rPr>
            </w:pPr>
            <w:r>
              <w:rPr>
                <w:rFonts w:ascii="Verdana" w:hAnsi="Verdana" w:cs="Arial"/>
              </w:rPr>
              <w:t>Valoare indicator:</w:t>
            </w:r>
          </w:p>
          <w:p>
            <w:pPr>
              <w:pStyle w:val="ListParagraph"/>
              <w:numPr>
                <w:ilvl w:val="0"/>
                <w:numId w:val="21"/>
              </w:numPr>
              <w:shd w:val="clear" w:color="auto" w:fill="FFFFFF" w:themeFill="background1"/>
              <w:jc w:val="both"/>
              <w:rPr>
                <w:rFonts w:ascii="Verdana" w:hAnsi="Verdana" w:cs="Arial"/>
              </w:rPr>
            </w:pPr>
            <w:r>
              <w:rPr>
                <w:rFonts w:ascii="Verdana" w:hAnsi="Verdana" w:cs="Arial"/>
              </w:rPr>
              <w:t xml:space="preserve"> Min. 5% anual</w:t>
            </w:r>
          </w:p>
          <w:p>
            <w:pPr>
              <w:pStyle w:val="ydpab1dad8emsonormal"/>
              <w:spacing w:after="0" w:afterAutospacing="0"/>
              <w:rPr>
                <w:rFonts w:ascii="Verdana" w:hAnsi="Verdana"/>
                <w:color w:val="000000"/>
                <w:sz w:val="20"/>
                <w:szCs w:val="20"/>
              </w:rPr>
            </w:pPr>
            <w:r>
              <w:rPr>
                <w:rFonts w:ascii="Verdana" w:hAnsi="Verdana" w:cs="Arial"/>
                <w:sz w:val="20"/>
                <w:szCs w:val="20"/>
              </w:rPr>
              <w:t xml:space="preserve">Penalitate: </w:t>
            </w:r>
            <w:r>
              <w:rPr>
                <w:rFonts w:ascii="Verdana" w:hAnsi="Verdana"/>
                <w:color w:val="000000"/>
                <w:sz w:val="20"/>
                <w:szCs w:val="20"/>
              </w:rPr>
              <w:t>Pentru</w:t>
            </w:r>
            <w:r>
              <w:rPr>
                <w:rFonts w:ascii="Verdana" w:hAnsi="Verdana"/>
                <w:color w:val="000000"/>
                <w:sz w:val="18"/>
                <w:szCs w:val="18"/>
              </w:rPr>
              <w:t xml:space="preserve"> </w:t>
            </w:r>
            <w:r>
              <w:rPr>
                <w:rFonts w:ascii="Verdana" w:hAnsi="Verdana"/>
                <w:color w:val="000000"/>
                <w:sz w:val="20"/>
                <w:szCs w:val="20"/>
              </w:rPr>
              <w:t>cantități inferioare valorii propuse se va aplica următoarea formulă </w:t>
            </w:r>
            <w:r>
              <w:rPr>
                <w:rStyle w:val="apple-converted-space"/>
                <w:rFonts w:ascii="Verdana" w:hAnsi="Verdana"/>
                <w:color w:val="000000"/>
                <w:sz w:val="20"/>
                <w:szCs w:val="20"/>
              </w:rPr>
              <w:t> </w:t>
            </w:r>
            <w:r>
              <w:rPr>
                <w:rFonts w:ascii="Verdana" w:hAnsi="Verdana"/>
                <w:color w:val="000000"/>
                <w:sz w:val="20"/>
                <w:szCs w:val="20"/>
              </w:rPr>
              <w:t>de calcul a penalizării:</w:t>
            </w:r>
          </w:p>
          <w:p>
            <w:pPr>
              <w:pStyle w:val="ydpab1dad8emsonormal"/>
              <w:spacing w:after="0" w:afterAutospacing="0"/>
              <w:rPr>
                <w:rFonts w:ascii="Verdana" w:hAnsi="Verdana"/>
                <w:color w:val="000000"/>
                <w:sz w:val="20"/>
                <w:szCs w:val="20"/>
              </w:rPr>
            </w:pPr>
            <w:r>
              <w:rPr>
                <w:rFonts w:ascii="Verdana" w:hAnsi="Verdana"/>
                <w:color w:val="000000"/>
                <w:sz w:val="20"/>
                <w:szCs w:val="20"/>
              </w:rPr>
              <w:t>P= (M</w:t>
            </w:r>
            <w:r>
              <w:rPr>
                <w:rFonts w:ascii="Verdana" w:hAnsi="Verdana"/>
                <w:color w:val="000000"/>
                <w:sz w:val="20"/>
                <w:szCs w:val="20"/>
                <w:vertAlign w:val="subscript"/>
              </w:rPr>
              <w:t>T</w:t>
            </w:r>
            <w:r>
              <w:rPr>
                <w:rFonts w:ascii="Verdana" w:hAnsi="Verdana"/>
                <w:color w:val="000000"/>
                <w:sz w:val="20"/>
                <w:szCs w:val="20"/>
              </w:rPr>
              <w:t>-M</w:t>
            </w:r>
            <w:r>
              <w:rPr>
                <w:rFonts w:ascii="Verdana" w:hAnsi="Verdana"/>
                <w:color w:val="000000"/>
                <w:sz w:val="20"/>
                <w:szCs w:val="20"/>
                <w:vertAlign w:val="subscript"/>
              </w:rPr>
              <w:t>V</w:t>
            </w:r>
            <w:r>
              <w:rPr>
                <w:rFonts w:ascii="Verdana" w:hAnsi="Verdana"/>
                <w:color w:val="000000"/>
                <w:sz w:val="20"/>
                <w:szCs w:val="20"/>
              </w:rPr>
              <w:t>)</w:t>
            </w:r>
            <w:r>
              <w:rPr>
                <w:rStyle w:val="apple-converted-space"/>
                <w:rFonts w:ascii="Verdana" w:hAnsi="Verdana"/>
                <w:color w:val="000000"/>
                <w:sz w:val="20"/>
                <w:szCs w:val="20"/>
              </w:rPr>
              <w:t> </w:t>
            </w:r>
            <w:r>
              <w:rPr>
                <w:rFonts w:ascii="Verdana" w:hAnsi="Verdana"/>
                <w:color w:val="000000"/>
                <w:sz w:val="20"/>
                <w:szCs w:val="20"/>
                <w:vertAlign w:val="subscript"/>
              </w:rPr>
              <w:t> </w:t>
            </w:r>
            <w:r>
              <w:rPr>
                <w:rFonts w:ascii="Verdana" w:hAnsi="Verdana"/>
                <w:i/>
                <w:iCs/>
                <w:color w:val="000000"/>
                <w:sz w:val="20"/>
                <w:szCs w:val="20"/>
              </w:rPr>
              <w:t>x</w:t>
            </w:r>
            <w:r>
              <w:rPr>
                <w:rStyle w:val="apple-converted-space"/>
                <w:rFonts w:ascii="Verdana" w:hAnsi="Verdana"/>
                <w:color w:val="000000"/>
                <w:sz w:val="20"/>
                <w:szCs w:val="20"/>
              </w:rPr>
              <w:t> </w:t>
            </w:r>
            <w:r>
              <w:rPr>
                <w:rFonts w:ascii="Verdana" w:hAnsi="Verdana"/>
                <w:color w:val="000000"/>
                <w:sz w:val="20"/>
                <w:szCs w:val="20"/>
              </w:rPr>
              <w:t>V, unde:</w:t>
            </w:r>
          </w:p>
          <w:p>
            <w:pPr>
              <w:pStyle w:val="ydpab1dad8emsonormal"/>
              <w:spacing w:after="0" w:afterAutospacing="0"/>
              <w:rPr>
                <w:rFonts w:ascii="Verdana" w:hAnsi="Verdana"/>
                <w:color w:val="000000"/>
                <w:sz w:val="20"/>
                <w:szCs w:val="20"/>
              </w:rPr>
            </w:pPr>
            <w:r>
              <w:rPr>
                <w:rFonts w:ascii="Verdana" w:hAnsi="Verdana"/>
                <w:color w:val="000000"/>
                <w:sz w:val="20"/>
                <w:szCs w:val="20"/>
              </w:rPr>
              <w:t>P = penalitatea</w:t>
            </w:r>
          </w:p>
          <w:p>
            <w:pPr>
              <w:pStyle w:val="ydpab1dad8emsonormal"/>
              <w:spacing w:after="0" w:afterAutospacing="0"/>
              <w:rPr>
                <w:rFonts w:ascii="Verdana" w:hAnsi="Verdana"/>
                <w:color w:val="000000"/>
                <w:sz w:val="20"/>
                <w:szCs w:val="20"/>
              </w:rPr>
            </w:pPr>
            <w:r>
              <w:rPr>
                <w:rFonts w:ascii="Verdana" w:hAnsi="Verdana"/>
                <w:color w:val="000000"/>
                <w:sz w:val="20"/>
                <w:szCs w:val="20"/>
              </w:rPr>
              <w:t>M</w:t>
            </w:r>
            <w:r>
              <w:rPr>
                <w:rFonts w:ascii="Verdana" w:hAnsi="Verdana"/>
                <w:color w:val="000000"/>
                <w:sz w:val="20"/>
                <w:szCs w:val="20"/>
                <w:vertAlign w:val="subscript"/>
              </w:rPr>
              <w:t>T</w:t>
            </w:r>
            <w:r>
              <w:rPr>
                <w:rStyle w:val="apple-converted-space"/>
                <w:rFonts w:ascii="Verdana" w:hAnsi="Verdana"/>
                <w:color w:val="000000"/>
                <w:sz w:val="20"/>
                <w:szCs w:val="20"/>
              </w:rPr>
              <w:t> </w:t>
            </w:r>
            <w:r>
              <w:rPr>
                <w:rFonts w:ascii="Verdana" w:hAnsi="Verdana"/>
                <w:color w:val="000000"/>
                <w:sz w:val="20"/>
                <w:szCs w:val="20"/>
              </w:rPr>
              <w:t>= cantitatea (masa) de deșeuri necesar a fi sortate și trimise la reciclare</w:t>
            </w:r>
          </w:p>
          <w:p>
            <w:pPr>
              <w:pStyle w:val="ydpab1dad8emsonormal"/>
              <w:spacing w:after="0" w:afterAutospacing="0"/>
              <w:rPr>
                <w:rFonts w:ascii="Verdana" w:hAnsi="Verdana"/>
                <w:color w:val="000000"/>
                <w:sz w:val="20"/>
                <w:szCs w:val="20"/>
              </w:rPr>
            </w:pPr>
            <w:r>
              <w:rPr>
                <w:rFonts w:ascii="Verdana" w:hAnsi="Verdana"/>
                <w:color w:val="000000"/>
                <w:sz w:val="20"/>
                <w:szCs w:val="20"/>
              </w:rPr>
              <w:t>M</w:t>
            </w:r>
            <w:r>
              <w:rPr>
                <w:rFonts w:ascii="Verdana" w:hAnsi="Verdana"/>
                <w:color w:val="000000"/>
                <w:sz w:val="20"/>
                <w:szCs w:val="20"/>
                <w:vertAlign w:val="subscript"/>
              </w:rPr>
              <w:t>V</w:t>
            </w:r>
            <w:r>
              <w:rPr>
                <w:rStyle w:val="apple-converted-space"/>
                <w:rFonts w:ascii="Verdana" w:hAnsi="Verdana"/>
                <w:color w:val="000000"/>
                <w:sz w:val="20"/>
                <w:szCs w:val="20"/>
              </w:rPr>
              <w:t> </w:t>
            </w:r>
            <w:r>
              <w:rPr>
                <w:rFonts w:ascii="Verdana" w:hAnsi="Verdana"/>
                <w:color w:val="000000"/>
                <w:sz w:val="20"/>
                <w:szCs w:val="20"/>
              </w:rPr>
              <w:t>= cantitatea (masa) de deșeuri efectiv sortate și trimise la reciclare</w:t>
            </w:r>
          </w:p>
          <w:p>
            <w:pPr>
              <w:jc w:val="both"/>
              <w:rPr>
                <w:rFonts w:ascii="Verdana" w:hAnsi="Verdana" w:cs="Arial"/>
              </w:rPr>
            </w:pPr>
            <w:r>
              <w:rPr>
                <w:rFonts w:ascii="Verdana" w:hAnsi="Verdana"/>
                <w:color w:val="000000"/>
              </w:rPr>
              <w:t>V = prețul mediu anual de vânzare a deșeurilor reciclabile</w:t>
            </w:r>
          </w:p>
          <w:p>
            <w:pPr>
              <w:jc w:val="both"/>
              <w:rPr>
                <w:rFonts w:ascii="Verdana" w:hAnsi="Verdana" w:cs="Arial"/>
              </w:rPr>
            </w:pPr>
          </w:p>
          <w:p>
            <w:pPr>
              <w:jc w:val="both"/>
              <w:rPr>
                <w:rFonts w:ascii="Verdana" w:hAnsi="Verdana" w:cs="Arial"/>
                <w:b/>
                <w:bCs/>
              </w:rPr>
            </w:pPr>
            <w:r>
              <w:rPr>
                <w:rFonts w:ascii="Verdana" w:hAnsi="Verdana" w:cs="Arial"/>
                <w:b/>
                <w:bCs/>
              </w:rPr>
              <w:t xml:space="preserve">I.1.2 Cantitatea de deșeuri trimisă anual la valorificare energetică ca </w:t>
            </w:r>
            <w:r>
              <w:rPr>
                <w:rFonts w:ascii="Verdana" w:hAnsi="Verdana" w:cs="Arial"/>
                <w:b/>
                <w:bCs/>
              </w:rPr>
              <w:lastRenderedPageBreak/>
              <w:t>procent din cantitatea totală   de deșeuri acceptate la instalația TMB (%)</w:t>
            </w:r>
          </w:p>
          <w:p>
            <w:pPr>
              <w:jc w:val="both"/>
              <w:rPr>
                <w:rFonts w:ascii="Verdana" w:hAnsi="Verdana" w:cs="Arial"/>
              </w:rPr>
            </w:pPr>
            <w:r>
              <w:rPr>
                <w:rFonts w:ascii="Verdana" w:hAnsi="Verdana" w:cs="Arial"/>
              </w:rPr>
              <w:t>Valoare indicator:</w:t>
            </w:r>
          </w:p>
          <w:p>
            <w:pPr>
              <w:jc w:val="both"/>
              <w:rPr>
                <w:rFonts w:ascii="Verdana" w:hAnsi="Verdana" w:cs="Arial"/>
              </w:rPr>
            </w:pPr>
          </w:p>
          <w:p>
            <w:pPr>
              <w:pStyle w:val="ListParagraph"/>
              <w:numPr>
                <w:ilvl w:val="0"/>
                <w:numId w:val="21"/>
              </w:numPr>
              <w:shd w:val="clear" w:color="auto" w:fill="FFFFFF" w:themeFill="background1"/>
              <w:spacing w:after="120"/>
              <w:rPr>
                <w:rFonts w:ascii="Verdana" w:hAnsi="Verdana" w:cs="Arial"/>
              </w:rPr>
            </w:pPr>
            <w:r>
              <w:rPr>
                <w:rFonts w:ascii="Verdana" w:hAnsi="Verdana" w:cs="Arial"/>
              </w:rPr>
              <w:t>Min. 13%</w:t>
            </w:r>
            <w:r>
              <w:rPr>
                <w:rFonts w:cs="Arial"/>
              </w:rPr>
              <w:t xml:space="preserve"> </w:t>
            </w:r>
          </w:p>
          <w:p>
            <w:pPr>
              <w:pStyle w:val="ydpab1dad8emsonormal"/>
              <w:spacing w:before="0" w:beforeAutospacing="0" w:after="120" w:afterAutospacing="0"/>
              <w:rPr>
                <w:rFonts w:ascii="Verdana" w:hAnsi="Verdana"/>
                <w:color w:val="000000"/>
                <w:sz w:val="20"/>
                <w:szCs w:val="20"/>
              </w:rPr>
            </w:pPr>
            <w:r>
              <w:rPr>
                <w:rFonts w:ascii="Verdana" w:hAnsi="Verdana" w:cs="Arial"/>
                <w:sz w:val="20"/>
                <w:szCs w:val="20"/>
              </w:rPr>
              <w:t xml:space="preserve">Penalitate: </w:t>
            </w:r>
            <w:r>
              <w:rPr>
                <w:rFonts w:ascii="Verdana" w:hAnsi="Verdana"/>
                <w:color w:val="000000"/>
                <w:sz w:val="20"/>
                <w:szCs w:val="20"/>
              </w:rPr>
              <w:t>Pentru</w:t>
            </w:r>
            <w:r>
              <w:rPr>
                <w:rFonts w:ascii="Verdana" w:hAnsi="Verdana"/>
                <w:color w:val="000000"/>
                <w:sz w:val="18"/>
                <w:szCs w:val="18"/>
              </w:rPr>
              <w:t xml:space="preserve"> </w:t>
            </w:r>
            <w:r>
              <w:rPr>
                <w:rFonts w:ascii="Verdana" w:hAnsi="Verdana"/>
                <w:color w:val="000000"/>
                <w:sz w:val="20"/>
                <w:szCs w:val="20"/>
              </w:rPr>
              <w:t>cantități inferioare valorii propuse se va aplica următoarea formulă </w:t>
            </w:r>
            <w:r>
              <w:rPr>
                <w:rStyle w:val="apple-converted-space"/>
                <w:rFonts w:ascii="Verdana" w:hAnsi="Verdana"/>
                <w:color w:val="000000"/>
                <w:sz w:val="20"/>
                <w:szCs w:val="20"/>
              </w:rPr>
              <w:t> </w:t>
            </w:r>
            <w:r>
              <w:rPr>
                <w:rFonts w:ascii="Verdana" w:hAnsi="Verdana"/>
                <w:color w:val="000000"/>
                <w:sz w:val="20"/>
                <w:szCs w:val="20"/>
              </w:rPr>
              <w:t>de calcul a penalizării:</w:t>
            </w:r>
          </w:p>
          <w:p>
            <w:pPr>
              <w:pStyle w:val="ydpab1dad8emsonormal"/>
              <w:spacing w:before="0" w:beforeAutospacing="0" w:after="120" w:afterAutospacing="0"/>
              <w:rPr>
                <w:rFonts w:ascii="Verdana" w:hAnsi="Verdana"/>
                <w:color w:val="000000"/>
                <w:sz w:val="20"/>
                <w:szCs w:val="20"/>
              </w:rPr>
            </w:pPr>
            <w:r>
              <w:rPr>
                <w:rFonts w:ascii="Verdana" w:hAnsi="Verdana"/>
                <w:color w:val="000000"/>
                <w:sz w:val="20"/>
                <w:szCs w:val="20"/>
              </w:rPr>
              <w:t>P= (M</w:t>
            </w:r>
            <w:r>
              <w:rPr>
                <w:rFonts w:ascii="Verdana" w:hAnsi="Verdana"/>
                <w:color w:val="000000"/>
                <w:sz w:val="20"/>
                <w:szCs w:val="20"/>
                <w:vertAlign w:val="subscript"/>
              </w:rPr>
              <w:t>T</w:t>
            </w:r>
            <w:r>
              <w:rPr>
                <w:rFonts w:ascii="Verdana" w:hAnsi="Verdana"/>
                <w:color w:val="000000"/>
                <w:sz w:val="20"/>
                <w:szCs w:val="20"/>
              </w:rPr>
              <w:t>-M</w:t>
            </w:r>
            <w:r>
              <w:rPr>
                <w:rFonts w:ascii="Verdana" w:hAnsi="Verdana"/>
                <w:color w:val="000000"/>
                <w:sz w:val="20"/>
                <w:szCs w:val="20"/>
                <w:vertAlign w:val="subscript"/>
              </w:rPr>
              <w:t>V</w:t>
            </w:r>
            <w:r>
              <w:rPr>
                <w:rFonts w:ascii="Verdana" w:hAnsi="Verdana"/>
                <w:color w:val="000000"/>
                <w:sz w:val="20"/>
                <w:szCs w:val="20"/>
              </w:rPr>
              <w:t>)</w:t>
            </w:r>
            <w:r>
              <w:rPr>
                <w:rStyle w:val="apple-converted-space"/>
                <w:rFonts w:ascii="Verdana" w:hAnsi="Verdana"/>
                <w:color w:val="000000"/>
                <w:sz w:val="20"/>
                <w:szCs w:val="20"/>
              </w:rPr>
              <w:t> </w:t>
            </w:r>
            <w:r>
              <w:rPr>
                <w:rFonts w:ascii="Verdana" w:hAnsi="Verdana"/>
                <w:color w:val="000000"/>
                <w:sz w:val="20"/>
                <w:szCs w:val="20"/>
                <w:vertAlign w:val="subscript"/>
              </w:rPr>
              <w:t> </w:t>
            </w:r>
            <w:r>
              <w:rPr>
                <w:rFonts w:ascii="Verdana" w:hAnsi="Verdana"/>
                <w:i/>
                <w:iCs/>
                <w:color w:val="000000"/>
                <w:sz w:val="20"/>
                <w:szCs w:val="20"/>
              </w:rPr>
              <w:t>x</w:t>
            </w:r>
            <w:r>
              <w:rPr>
                <w:rFonts w:ascii="Verdana" w:hAnsi="Verdana"/>
                <w:color w:val="000000"/>
                <w:sz w:val="20"/>
                <w:szCs w:val="20"/>
              </w:rPr>
              <w:t> </w:t>
            </w:r>
            <w:r>
              <w:rPr>
                <w:rStyle w:val="apple-converted-space"/>
                <w:rFonts w:ascii="Verdana" w:hAnsi="Verdana"/>
                <w:color w:val="000000"/>
                <w:sz w:val="20"/>
                <w:szCs w:val="20"/>
              </w:rPr>
              <w:t> </w:t>
            </w:r>
            <w:r>
              <w:rPr>
                <w:rFonts w:ascii="Verdana" w:hAnsi="Verdana"/>
                <w:color w:val="000000"/>
                <w:sz w:val="20"/>
                <w:szCs w:val="20"/>
              </w:rPr>
              <w:t>1,15</w:t>
            </w:r>
            <w:r>
              <w:rPr>
                <w:rStyle w:val="apple-converted-space"/>
                <w:rFonts w:ascii="Verdana" w:hAnsi="Verdana"/>
                <w:color w:val="000000"/>
                <w:sz w:val="20"/>
                <w:szCs w:val="20"/>
              </w:rPr>
              <w:t> </w:t>
            </w:r>
            <w:r>
              <w:rPr>
                <w:rFonts w:ascii="Verdana" w:hAnsi="Verdana"/>
                <w:i/>
                <w:iCs/>
                <w:color w:val="000000"/>
                <w:sz w:val="20"/>
                <w:szCs w:val="20"/>
              </w:rPr>
              <w:t xml:space="preserve">x </w:t>
            </w:r>
            <w:r>
              <w:rPr>
                <w:rFonts w:ascii="Verdana" w:hAnsi="Verdana"/>
                <w:color w:val="000000"/>
                <w:sz w:val="20"/>
                <w:szCs w:val="20"/>
              </w:rPr>
              <w:t>C</w:t>
            </w:r>
            <w:r>
              <w:rPr>
                <w:rFonts w:ascii="Verdana" w:hAnsi="Verdana"/>
                <w:color w:val="000000"/>
                <w:sz w:val="20"/>
                <w:szCs w:val="20"/>
                <w:vertAlign w:val="subscript"/>
              </w:rPr>
              <w:t>RDF</w:t>
            </w:r>
            <w:r>
              <w:rPr>
                <w:rFonts w:ascii="Verdana" w:hAnsi="Verdana"/>
                <w:color w:val="000000"/>
                <w:sz w:val="20"/>
                <w:szCs w:val="20"/>
              </w:rPr>
              <w:t xml:space="preserve">, </w:t>
            </w:r>
          </w:p>
          <w:p>
            <w:pPr>
              <w:pStyle w:val="ydpab1dad8emsonormal"/>
              <w:spacing w:before="0" w:beforeAutospacing="0" w:after="120" w:afterAutospacing="0"/>
              <w:rPr>
                <w:rFonts w:ascii="Verdana" w:hAnsi="Verdana"/>
                <w:color w:val="000000"/>
                <w:sz w:val="20"/>
                <w:szCs w:val="20"/>
              </w:rPr>
            </w:pPr>
            <w:r>
              <w:rPr>
                <w:rFonts w:ascii="Verdana" w:hAnsi="Verdana"/>
                <w:color w:val="000000"/>
                <w:sz w:val="20"/>
                <w:szCs w:val="20"/>
              </w:rPr>
              <w:t>unde:</w:t>
            </w:r>
          </w:p>
          <w:p>
            <w:pPr>
              <w:pStyle w:val="ydpab1dad8emsonormal"/>
              <w:spacing w:before="0" w:beforeAutospacing="0" w:after="120" w:afterAutospacing="0"/>
              <w:rPr>
                <w:rFonts w:ascii="Verdana" w:hAnsi="Verdana"/>
                <w:color w:val="000000"/>
                <w:sz w:val="20"/>
                <w:szCs w:val="20"/>
              </w:rPr>
            </w:pPr>
            <w:r>
              <w:rPr>
                <w:rFonts w:ascii="Verdana" w:hAnsi="Verdana"/>
                <w:color w:val="000000"/>
                <w:sz w:val="20"/>
                <w:szCs w:val="20"/>
              </w:rPr>
              <w:t>P = penalitatea</w:t>
            </w:r>
          </w:p>
          <w:p>
            <w:pPr>
              <w:pStyle w:val="ydpab1dad8emsonormal"/>
              <w:spacing w:before="0" w:beforeAutospacing="0" w:after="120" w:afterAutospacing="0"/>
              <w:rPr>
                <w:rFonts w:ascii="Verdana" w:hAnsi="Verdana"/>
                <w:color w:val="000000"/>
                <w:sz w:val="20"/>
                <w:szCs w:val="20"/>
              </w:rPr>
            </w:pPr>
            <w:r>
              <w:rPr>
                <w:rFonts w:ascii="Verdana" w:hAnsi="Verdana"/>
                <w:color w:val="000000"/>
                <w:sz w:val="20"/>
                <w:szCs w:val="20"/>
              </w:rPr>
              <w:t>M</w:t>
            </w:r>
            <w:r>
              <w:rPr>
                <w:rFonts w:ascii="Verdana" w:hAnsi="Verdana"/>
                <w:color w:val="000000"/>
                <w:sz w:val="20"/>
                <w:szCs w:val="20"/>
                <w:vertAlign w:val="subscript"/>
              </w:rPr>
              <w:t>T</w:t>
            </w:r>
            <w:r>
              <w:rPr>
                <w:rStyle w:val="apple-converted-space"/>
                <w:rFonts w:ascii="Verdana" w:hAnsi="Verdana"/>
                <w:color w:val="000000"/>
                <w:sz w:val="20"/>
                <w:szCs w:val="20"/>
              </w:rPr>
              <w:t> </w:t>
            </w:r>
            <w:r>
              <w:rPr>
                <w:rFonts w:ascii="Verdana" w:hAnsi="Verdana"/>
                <w:color w:val="000000"/>
                <w:sz w:val="20"/>
                <w:szCs w:val="20"/>
              </w:rPr>
              <w:t>= cantitatea (masa) de deșeuri necesar a fi valorificate energetic</w:t>
            </w:r>
          </w:p>
          <w:p>
            <w:pPr>
              <w:pStyle w:val="ydpab1dad8emsonormal"/>
              <w:spacing w:before="0" w:beforeAutospacing="0" w:after="120" w:afterAutospacing="0"/>
              <w:rPr>
                <w:rFonts w:ascii="Verdana" w:hAnsi="Verdana"/>
                <w:color w:val="000000"/>
                <w:sz w:val="20"/>
                <w:szCs w:val="20"/>
              </w:rPr>
            </w:pPr>
            <w:r>
              <w:rPr>
                <w:rFonts w:ascii="Verdana" w:hAnsi="Verdana"/>
                <w:color w:val="000000"/>
                <w:sz w:val="20"/>
                <w:szCs w:val="20"/>
              </w:rPr>
              <w:t>M</w:t>
            </w:r>
            <w:r>
              <w:rPr>
                <w:rFonts w:ascii="Verdana" w:hAnsi="Verdana"/>
                <w:color w:val="000000"/>
                <w:sz w:val="20"/>
                <w:szCs w:val="20"/>
                <w:vertAlign w:val="subscript"/>
              </w:rPr>
              <w:t>V</w:t>
            </w:r>
            <w:r>
              <w:rPr>
                <w:rStyle w:val="apple-converted-space"/>
                <w:rFonts w:ascii="Verdana" w:hAnsi="Verdana"/>
                <w:color w:val="000000"/>
                <w:sz w:val="20"/>
                <w:szCs w:val="20"/>
              </w:rPr>
              <w:t> </w:t>
            </w:r>
            <w:r>
              <w:rPr>
                <w:rFonts w:ascii="Verdana" w:hAnsi="Verdana"/>
                <w:color w:val="000000"/>
                <w:sz w:val="20"/>
                <w:szCs w:val="20"/>
              </w:rPr>
              <w:t>= cantitatea (masa) de deșeuri efectiv valorificate energetic</w:t>
            </w:r>
          </w:p>
          <w:p>
            <w:pPr>
              <w:spacing w:after="120"/>
              <w:jc w:val="both"/>
              <w:rPr>
                <w:rFonts w:ascii="Verdana" w:hAnsi="Verdana" w:cs="Arial"/>
              </w:rPr>
            </w:pPr>
            <w:r>
              <w:rPr>
                <w:rFonts w:ascii="Verdana" w:hAnsi="Verdana" w:cs="Arial"/>
              </w:rPr>
              <w:t>C</w:t>
            </w:r>
            <w:r>
              <w:rPr>
                <w:rFonts w:ascii="Verdana" w:hAnsi="Verdana" w:cs="Arial"/>
                <w:vertAlign w:val="subscript"/>
              </w:rPr>
              <w:t>RDF</w:t>
            </w:r>
            <w:r>
              <w:rPr>
                <w:rFonts w:ascii="Verdana" w:hAnsi="Verdana" w:cs="Arial"/>
              </w:rPr>
              <w:t xml:space="preserve"> = costul mediu anual de transport și valorificare a RDF</w:t>
            </w:r>
          </w:p>
          <w:p>
            <w:pPr>
              <w:jc w:val="both"/>
              <w:rPr>
                <w:rFonts w:ascii="Verdana" w:hAnsi="Verdana" w:cs="Arial"/>
              </w:rPr>
            </w:pPr>
          </w:p>
          <w:p>
            <w:pPr>
              <w:jc w:val="both"/>
              <w:rPr>
                <w:rFonts w:ascii="Verdana" w:hAnsi="Verdana" w:cs="Arial"/>
                <w:b/>
                <w:i/>
                <w:iCs/>
              </w:rPr>
            </w:pPr>
            <w:r>
              <w:rPr>
                <w:rFonts w:ascii="Verdana" w:hAnsi="Verdana" w:cs="Arial"/>
                <w:b/>
              </w:rPr>
              <w:t xml:space="preserve">I.2 </w:t>
            </w:r>
            <w:r>
              <w:rPr>
                <w:rFonts w:ascii="Verdana" w:hAnsi="Verdana" w:cs="Arial"/>
                <w:b/>
                <w:i/>
                <w:iCs/>
              </w:rPr>
              <w:t>Eficiență în operarea digestoarelor</w:t>
            </w:r>
          </w:p>
          <w:p>
            <w:pPr>
              <w:jc w:val="both"/>
              <w:rPr>
                <w:rFonts w:ascii="Verdana" w:hAnsi="Verdana" w:cs="Arial"/>
              </w:rPr>
            </w:pPr>
          </w:p>
          <w:p>
            <w:pPr>
              <w:jc w:val="both"/>
              <w:rPr>
                <w:rFonts w:ascii="Verdana" w:hAnsi="Verdana" w:cs="Arial"/>
                <w:b/>
                <w:iCs/>
                <w:highlight w:val="green"/>
                <w:lang w:bidi="ne-NP"/>
              </w:rPr>
            </w:pPr>
            <w:r>
              <w:rPr>
                <w:rFonts w:ascii="Verdana" w:hAnsi="Verdana"/>
                <w:b/>
                <w:bCs/>
              </w:rPr>
              <w:t xml:space="preserve">I.2.1 </w:t>
            </w:r>
            <w:r>
              <w:rPr>
                <w:rFonts w:ascii="Verdana" w:hAnsi="Verdana" w:cs="Arial"/>
                <w:b/>
                <w:iCs/>
                <w:lang w:bidi="ne-NP"/>
              </w:rPr>
              <w:t>Cantitatea de compost obținut anual din biodeșeuri colectate separat ca procent din cantitatea de biodeșeuri colectate separat acceptată la instalația  TMB (%)</w:t>
            </w:r>
          </w:p>
          <w:p>
            <w:pPr>
              <w:jc w:val="both"/>
              <w:rPr>
                <w:rFonts w:ascii="Verdana" w:hAnsi="Verdana" w:cs="Arial"/>
                <w:b/>
                <w:iCs/>
                <w:highlight w:val="green"/>
                <w:lang w:bidi="ne-NP"/>
              </w:rPr>
            </w:pPr>
          </w:p>
          <w:p>
            <w:pPr>
              <w:jc w:val="both"/>
              <w:rPr>
                <w:rFonts w:ascii="Verdana" w:hAnsi="Verdana" w:cs="Arial"/>
              </w:rPr>
            </w:pPr>
            <w:r>
              <w:rPr>
                <w:rFonts w:ascii="Verdana" w:hAnsi="Verdana" w:cs="Arial"/>
              </w:rPr>
              <w:t>Valoare indicator:</w:t>
            </w:r>
          </w:p>
          <w:p>
            <w:pPr>
              <w:pStyle w:val="ListParagraph"/>
              <w:numPr>
                <w:ilvl w:val="0"/>
                <w:numId w:val="21"/>
              </w:numPr>
              <w:spacing w:after="120" w:line="320" w:lineRule="exact"/>
              <w:jc w:val="both"/>
              <w:rPr>
                <w:rFonts w:ascii="Verdana" w:hAnsi="Verdana" w:cs="Arial"/>
                <w:b/>
              </w:rPr>
            </w:pPr>
            <w:r>
              <w:rPr>
                <w:rFonts w:ascii="Verdana" w:hAnsi="Verdana" w:cs="Arial"/>
              </w:rPr>
              <w:t>Min. 16%</w:t>
            </w:r>
          </w:p>
          <w:p>
            <w:pPr>
              <w:jc w:val="both"/>
              <w:rPr>
                <w:rFonts w:ascii="Verdana" w:hAnsi="Verdana" w:cs="Verdana"/>
              </w:rPr>
            </w:pPr>
            <w:r>
              <w:rPr>
                <w:rFonts w:ascii="Verdana" w:hAnsi="Verdana" w:cs="Verdana"/>
              </w:rPr>
              <w:t>Penalitate: Pentru cantități valorificate mai mici decât valorile propuse, Operatorul TMB  va suporta costurile aferente taxei / tarifului de depozitare și a CEC aferente pentru cantitatea depozitată ce depășește cantitatea corespunzătoare valorilor propuse, fără a le putea introduce în tarif. Aceste costuri vor fi determinate de către Autoritățile contractante conform reglementărilor în vigoare și scăzute din factura operatorului TMB sub formă de penalități pentru neîndeplinirea indicatorilor de performanță.</w:t>
            </w:r>
          </w:p>
          <w:p>
            <w:pPr>
              <w:jc w:val="both"/>
              <w:rPr>
                <w:rFonts w:ascii="Verdana" w:hAnsi="Verdana" w:cs="Verdana"/>
              </w:rPr>
            </w:pPr>
          </w:p>
          <w:p>
            <w:pPr>
              <w:jc w:val="both"/>
              <w:rPr>
                <w:rFonts w:ascii="Verdana" w:hAnsi="Verdana" w:cs="Verdana"/>
              </w:rPr>
            </w:pPr>
          </w:p>
          <w:p>
            <w:pPr>
              <w:jc w:val="both"/>
              <w:rPr>
                <w:rFonts w:ascii="Verdana" w:hAnsi="Verdana" w:cs="Arial"/>
                <w:b/>
                <w:i/>
                <w:iCs/>
              </w:rPr>
            </w:pPr>
            <w:r>
              <w:rPr>
                <w:rFonts w:ascii="Verdana" w:hAnsi="Verdana" w:cs="Arial"/>
                <w:b/>
              </w:rPr>
              <w:t>I</w:t>
            </w:r>
            <w:r>
              <w:rPr>
                <w:rFonts w:ascii="Verdana" w:hAnsi="Verdana" w:cs="Arial"/>
                <w:b/>
                <w:i/>
                <w:iCs/>
              </w:rPr>
              <w:t>.3 Eficiență în operarea  instalației TMB</w:t>
            </w:r>
          </w:p>
          <w:p>
            <w:pPr>
              <w:jc w:val="both"/>
              <w:rPr>
                <w:rFonts w:ascii="Verdana" w:hAnsi="Verdana" w:cs="Arial"/>
                <w:b/>
                <w:i/>
                <w:iCs/>
              </w:rPr>
            </w:pPr>
          </w:p>
          <w:p>
            <w:pPr>
              <w:jc w:val="both"/>
              <w:rPr>
                <w:rFonts w:ascii="Verdana" w:hAnsi="Verdana" w:cs="Arial"/>
                <w:b/>
                <w:bCs/>
                <w:highlight w:val="green"/>
              </w:rPr>
            </w:pPr>
            <w:r>
              <w:rPr>
                <w:rFonts w:ascii="Verdana" w:hAnsi="Verdana" w:cs="Arial"/>
                <w:b/>
                <w:bCs/>
              </w:rPr>
              <w:lastRenderedPageBreak/>
              <w:t>I.3.1 Cantitatea de deșeuri trimisă anual la depozitare ca procent din cantitatea totală de deșeuri acceptată reziduale și biodeșeuri colectate separat acceptată la instalația TMB (%)</w:t>
            </w:r>
          </w:p>
          <w:p>
            <w:pPr>
              <w:jc w:val="both"/>
              <w:rPr>
                <w:rFonts w:ascii="Verdana" w:hAnsi="Verdana" w:cs="Arial"/>
                <w:highlight w:val="green"/>
              </w:rPr>
            </w:pPr>
          </w:p>
          <w:p>
            <w:pPr>
              <w:jc w:val="both"/>
              <w:rPr>
                <w:rFonts w:ascii="Verdana" w:hAnsi="Verdana" w:cs="Arial"/>
              </w:rPr>
            </w:pPr>
            <w:r>
              <w:rPr>
                <w:rFonts w:ascii="Verdana" w:hAnsi="Verdana" w:cs="Arial"/>
              </w:rPr>
              <w:t>Valoare indicator:</w:t>
            </w:r>
          </w:p>
          <w:p>
            <w:pPr>
              <w:pStyle w:val="ListParagraph"/>
              <w:numPr>
                <w:ilvl w:val="0"/>
                <w:numId w:val="21"/>
              </w:numPr>
              <w:spacing w:after="120" w:line="320" w:lineRule="exact"/>
              <w:jc w:val="both"/>
              <w:rPr>
                <w:rFonts w:ascii="Verdana" w:hAnsi="Verdana" w:cs="Arial"/>
                <w:b/>
              </w:rPr>
            </w:pPr>
            <w:r>
              <w:rPr>
                <w:rFonts w:ascii="Verdana" w:hAnsi="Verdana" w:cs="Arial"/>
              </w:rPr>
              <w:t xml:space="preserve">Max. 20% </w:t>
            </w:r>
          </w:p>
          <w:p>
            <w:pPr>
              <w:jc w:val="both"/>
              <w:rPr>
                <w:rFonts w:ascii="Verdana" w:hAnsi="Verdana" w:cs="Arial"/>
              </w:rPr>
            </w:pPr>
            <w:r>
              <w:rPr>
                <w:rFonts w:ascii="Verdana" w:hAnsi="Verdana" w:cs="Arial"/>
              </w:rPr>
              <w:t>Penalitate: Pentru cantități depozitate mai mari decât valorile indicatorului, costul corespunzător tarifului de depozitare și a contribuției la economia circulară aferent acestora este suportat de către operatorul TMB, fără a putea fi inclus în tarif. Acest cost va fi determinat de către Autoritățile contractante conform reglementărilor în vigoare și scăzut din factura Antreprenorului sub formă de penalități pentru neîndeplinirea indicatorilor de performanță.</w:t>
            </w:r>
          </w:p>
          <w:p>
            <w:pPr>
              <w:jc w:val="both"/>
              <w:rPr>
                <w:rFonts w:ascii="Verdana" w:hAnsi="Verdana" w:cs="Arial"/>
              </w:rPr>
            </w:pPr>
          </w:p>
          <w:p>
            <w:pPr>
              <w:jc w:val="both"/>
              <w:rPr>
                <w:rFonts w:ascii="Verdana" w:hAnsi="Verdana" w:cs="Arial"/>
              </w:rPr>
            </w:pPr>
          </w:p>
          <w:p>
            <w:pPr>
              <w:jc w:val="both"/>
              <w:rPr>
                <w:rFonts w:ascii="Verdana" w:hAnsi="Verdana" w:cs="Arial"/>
                <w:b/>
                <w:bCs/>
              </w:rPr>
            </w:pPr>
            <w:r>
              <w:rPr>
                <w:rFonts w:ascii="Verdana" w:hAnsi="Verdana" w:cs="Arial"/>
                <w:b/>
                <w:bCs/>
              </w:rPr>
              <w:t>I.3.2 Cantitatea de energie totală generată anual din procesarea biogazului obținut raportată la cantitatea de energie totală consumată anual</w:t>
            </w:r>
          </w:p>
          <w:p>
            <w:pPr>
              <w:jc w:val="both"/>
              <w:rPr>
                <w:rFonts w:ascii="Verdana" w:hAnsi="Verdana" w:cs="Arial"/>
              </w:rPr>
            </w:pPr>
          </w:p>
          <w:p>
            <w:pPr>
              <w:jc w:val="both"/>
              <w:rPr>
                <w:rFonts w:ascii="Verdana" w:hAnsi="Verdana" w:cs="Arial"/>
              </w:rPr>
            </w:pPr>
            <w:r>
              <w:rPr>
                <w:rFonts w:ascii="Verdana" w:hAnsi="Verdana" w:cs="Arial"/>
              </w:rPr>
              <w:t>Valoare indicator:</w:t>
            </w:r>
          </w:p>
          <w:p>
            <w:pPr>
              <w:pStyle w:val="ListParagraph"/>
              <w:numPr>
                <w:ilvl w:val="0"/>
                <w:numId w:val="21"/>
              </w:numPr>
              <w:spacing w:after="120" w:line="320" w:lineRule="exact"/>
              <w:jc w:val="both"/>
              <w:rPr>
                <w:rFonts w:ascii="Verdana" w:hAnsi="Verdana" w:cs="Arial"/>
                <w:bCs/>
              </w:rPr>
            </w:pPr>
            <w:r>
              <w:rPr>
                <w:rFonts w:ascii="Verdana" w:hAnsi="Verdana" w:cs="Arial"/>
                <w:bCs/>
              </w:rPr>
              <w:t>Mai mare de 100%</w:t>
            </w:r>
          </w:p>
          <w:p>
            <w:pPr>
              <w:jc w:val="both"/>
              <w:rPr>
                <w:rFonts w:ascii="Verdana" w:hAnsi="Verdana" w:cs="Arial"/>
                <w:b/>
              </w:rPr>
            </w:pPr>
            <w:r>
              <w:rPr>
                <w:rFonts w:ascii="Verdana" w:hAnsi="Verdana" w:cs="Verdana"/>
              </w:rPr>
              <w:t xml:space="preserve">Penalitate: Costurile aferente energiei achiziționate vor fi suportate de Operatorul TMB, fără a putea include aceste costuri în tarif și fără a putea factura Autorităților contractante aceste sume, </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lastRenderedPageBreak/>
              <w:t>Clauza 36 – Întârzieri</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36.3</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valoare reținută din Certificat de Plată dacă Antreprenorul nu reușește să atingă un punct de referință la termenul stabilit</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10% din totalul sumelor aferente punctelor (a) și (b) din subclauza 50.1 [Situația de Lucrări]</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36.4</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valoarea penalităților de întârziere pentru fiecare zi de întârziere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Prețul Proiectării și Execuției Lucrărilor (sau Sectorului) la semnarea Contractului, împărțit la Durata de Execuție la semnarea Contractului exprimată în zile</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Clauza 46 - Plata în avans</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46.1</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efectuarea unei/unor plăți în avans</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da</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lastRenderedPageBreak/>
              <w:t>46.6</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valoarea fiecărei tranșe din plățile în avans</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15% din valoarea plăților aferente Prețului Proiectării și Execuției (inclusiv TVA) pentru fiecare an calendaristic, prevăzute în graficul de flux de numerar din Programul de Execuție aprobat și în vigoare la momentul respectiv</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46.6</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numărul de tranșe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 pe primii doi ani calendaristici din Durata de Execuție</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46.6</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data tranșelor</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primul Certificat de Plată din fiecare an calendaristic</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46.7</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sumele reprezentând plăți în avans pot fi justificate prin lucrări executate până la termenul stabilit în cadrul Contractului</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 xml:space="preserve">da </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46.7</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valoarea fiecărei tranșe din plățile în avans</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 xml:space="preserve">5% din Prețul Proiectării și Execuției, la care se adaugă TVA, pentru prima tranșă </w:t>
            </w:r>
          </w:p>
          <w:p>
            <w:pPr>
              <w:pStyle w:val="Heading2"/>
              <w:numPr>
                <w:ilvl w:val="0"/>
                <w:numId w:val="0"/>
              </w:numPr>
              <w:outlineLvl w:val="1"/>
              <w:rPr>
                <w:rFonts w:ascii="Verdana" w:hAnsi="Verdana"/>
                <w:szCs w:val="20"/>
              </w:rPr>
            </w:pPr>
            <w:r>
              <w:rPr>
                <w:rFonts w:ascii="Verdana" w:hAnsi="Verdana"/>
                <w:szCs w:val="20"/>
              </w:rPr>
              <w:t>10% din Prețul Proiectării și Execuției, la care se adaugă TVA, pentru a doua tranșă</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46.7</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numărul de tranșe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2</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46.7</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data tranșelor</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 xml:space="preserve">primul Certificat de Plată pentru prima tranșă </w:t>
            </w:r>
          </w:p>
          <w:p>
            <w:pPr>
              <w:pStyle w:val="Heading2"/>
              <w:numPr>
                <w:ilvl w:val="0"/>
                <w:numId w:val="0"/>
              </w:numPr>
              <w:outlineLvl w:val="1"/>
              <w:rPr>
                <w:rFonts w:ascii="Verdana" w:hAnsi="Verdana"/>
                <w:szCs w:val="20"/>
              </w:rPr>
            </w:pPr>
            <w:r>
              <w:rPr>
                <w:rFonts w:ascii="Verdana" w:hAnsi="Verdana"/>
                <w:szCs w:val="20"/>
              </w:rPr>
              <w:t>primul Certificat de Plată după obținerea autorizației de construire pentru Lucrările Permanente pentru a doua tranșă</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46.7</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valoarea deducerilor procentuale din Certificatele de Plată</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25% din totalul sumelor aferente punctelor (a), (b) și (c) din subclauza 50.1 [Situația de Lucrări]</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Clauza 47 - Sume Reținute</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47.1</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valoarea procentuală a Sumelor Reținute din Certificate de Plată</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10% din totalul sumelor aferente punctelor (a) și (b) din subclauza 50.1 [Situația de Lucrări]</w:t>
            </w:r>
          </w:p>
        </w:tc>
      </w:tr>
      <w:tr>
        <w:tc>
          <w:tcPr>
            <w:tcW w:w="1476"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47.1</w:t>
            </w:r>
          </w:p>
        </w:tc>
        <w:tc>
          <w:tcPr>
            <w:tcW w:w="3371"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limita Sumelor Reținute</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5% din Prețul Proiectării și Execuției la semnarea Contractului</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Clauza 48 - Ajustarea prețurilor</w:t>
            </w:r>
          </w:p>
        </w:tc>
      </w:tr>
      <w:tr>
        <w:tc>
          <w:tcPr>
            <w:tcW w:w="1476" w:type="dxa"/>
          </w:tcPr>
          <w:p>
            <w:pPr>
              <w:pStyle w:val="Heading2"/>
              <w:numPr>
                <w:ilvl w:val="0"/>
                <w:numId w:val="0"/>
              </w:numPr>
              <w:outlineLvl w:val="1"/>
              <w:rPr>
                <w:rFonts w:ascii="Verdana" w:hAnsi="Verdana"/>
                <w:szCs w:val="20"/>
              </w:rPr>
            </w:pPr>
            <w:r>
              <w:rPr>
                <w:rFonts w:ascii="Verdana" w:hAnsi="Verdana"/>
                <w:szCs w:val="20"/>
              </w:rPr>
              <w:t>48.2</w:t>
            </w:r>
          </w:p>
        </w:tc>
        <w:tc>
          <w:tcPr>
            <w:tcW w:w="3371" w:type="dxa"/>
          </w:tcPr>
          <w:p>
            <w:pPr>
              <w:pStyle w:val="Heading2"/>
              <w:numPr>
                <w:ilvl w:val="0"/>
                <w:numId w:val="0"/>
              </w:numPr>
              <w:outlineLvl w:val="1"/>
              <w:rPr>
                <w:rFonts w:ascii="Verdana" w:hAnsi="Verdana"/>
                <w:szCs w:val="20"/>
              </w:rPr>
            </w:pPr>
            <w:r>
              <w:rPr>
                <w:rFonts w:ascii="Verdana" w:hAnsi="Verdana"/>
                <w:szCs w:val="20"/>
              </w:rPr>
              <w:t>aplicarea unei formule de ajustare a prețurilor Proiectării și Execuției, atunci când Durata de Execuție la semnarea Contractului este mai mică sau egală cu 365 de zile</w:t>
            </w:r>
          </w:p>
        </w:tc>
        <w:tc>
          <w:tcPr>
            <w:tcW w:w="4215" w:type="dxa"/>
          </w:tcPr>
          <w:p>
            <w:pPr>
              <w:pStyle w:val="Heading2"/>
              <w:numPr>
                <w:ilvl w:val="0"/>
                <w:numId w:val="0"/>
              </w:numPr>
              <w:outlineLvl w:val="1"/>
              <w:rPr>
                <w:rFonts w:ascii="Verdana" w:hAnsi="Verdana"/>
                <w:szCs w:val="20"/>
              </w:rPr>
            </w:pPr>
            <w:r>
              <w:rPr>
                <w:rFonts w:ascii="Verdana" w:hAnsi="Verdana"/>
                <w:szCs w:val="20"/>
              </w:rPr>
              <w:t>nu</w:t>
            </w:r>
          </w:p>
        </w:tc>
      </w:tr>
      <w:tr>
        <w:tc>
          <w:tcPr>
            <w:tcW w:w="1476" w:type="dxa"/>
          </w:tcPr>
          <w:p>
            <w:pPr>
              <w:pStyle w:val="Heading2"/>
              <w:numPr>
                <w:ilvl w:val="0"/>
                <w:numId w:val="0"/>
              </w:numPr>
              <w:outlineLvl w:val="1"/>
              <w:rPr>
                <w:rFonts w:ascii="Verdana" w:hAnsi="Verdana"/>
                <w:szCs w:val="20"/>
              </w:rPr>
            </w:pPr>
            <w:r>
              <w:rPr>
                <w:rFonts w:ascii="Verdana" w:hAnsi="Verdana"/>
                <w:szCs w:val="20"/>
              </w:rPr>
              <w:t>48.3</w:t>
            </w:r>
          </w:p>
        </w:tc>
        <w:tc>
          <w:tcPr>
            <w:tcW w:w="3371" w:type="dxa"/>
          </w:tcPr>
          <w:p>
            <w:pPr>
              <w:pStyle w:val="Heading2"/>
              <w:numPr>
                <w:ilvl w:val="0"/>
                <w:numId w:val="0"/>
              </w:numPr>
              <w:outlineLvl w:val="1"/>
              <w:rPr>
                <w:rFonts w:ascii="Verdana" w:hAnsi="Verdana"/>
                <w:szCs w:val="20"/>
              </w:rPr>
            </w:pPr>
            <w:r>
              <w:rPr>
                <w:rFonts w:ascii="Verdana" w:hAnsi="Verdana"/>
                <w:szCs w:val="20"/>
              </w:rPr>
              <w:t xml:space="preserve">aplicarea unei formule de ajustare a prețurilor Proiectării și Execuție, atunci când Durata de Execuție la semnarea </w:t>
            </w:r>
            <w:r>
              <w:rPr>
                <w:rFonts w:ascii="Verdana" w:hAnsi="Verdana"/>
                <w:szCs w:val="20"/>
              </w:rPr>
              <w:lastRenderedPageBreak/>
              <w:t>Contractului este mai mare de 365 de zile</w:t>
            </w:r>
          </w:p>
        </w:tc>
        <w:tc>
          <w:tcPr>
            <w:tcW w:w="4215" w:type="dxa"/>
          </w:tcPr>
          <w:p>
            <w:pPr>
              <w:pStyle w:val="Heading2"/>
              <w:numPr>
                <w:ilvl w:val="0"/>
                <w:numId w:val="0"/>
              </w:numPr>
              <w:outlineLvl w:val="1"/>
              <w:rPr>
                <w:rFonts w:ascii="Verdana" w:hAnsi="Verdana"/>
                <w:szCs w:val="20"/>
              </w:rPr>
            </w:pPr>
            <w:r>
              <w:rPr>
                <w:rFonts w:ascii="Verdana" w:hAnsi="Verdana"/>
                <w:szCs w:val="20"/>
              </w:rPr>
              <w:lastRenderedPageBreak/>
              <w:t>da</w:t>
            </w:r>
          </w:p>
        </w:tc>
      </w:tr>
      <w:tr>
        <w:tc>
          <w:tcPr>
            <w:tcW w:w="1476" w:type="dxa"/>
          </w:tcPr>
          <w:p>
            <w:pPr>
              <w:pStyle w:val="Heading2"/>
              <w:numPr>
                <w:ilvl w:val="0"/>
                <w:numId w:val="0"/>
              </w:numPr>
              <w:outlineLvl w:val="1"/>
              <w:rPr>
                <w:rFonts w:ascii="Verdana" w:hAnsi="Verdana"/>
                <w:szCs w:val="20"/>
              </w:rPr>
            </w:pPr>
            <w:r>
              <w:rPr>
                <w:rFonts w:ascii="Verdana" w:hAnsi="Verdana"/>
                <w:szCs w:val="20"/>
              </w:rPr>
              <w:t>48.4</w:t>
            </w:r>
          </w:p>
        </w:tc>
        <w:tc>
          <w:tcPr>
            <w:tcW w:w="3371" w:type="dxa"/>
          </w:tcPr>
          <w:p>
            <w:pPr>
              <w:pStyle w:val="Heading2"/>
              <w:numPr>
                <w:ilvl w:val="0"/>
                <w:numId w:val="0"/>
              </w:numPr>
              <w:outlineLvl w:val="1"/>
              <w:rPr>
                <w:rFonts w:ascii="Verdana" w:hAnsi="Verdana"/>
                <w:szCs w:val="20"/>
                <w:highlight w:val="yellow"/>
              </w:rPr>
            </w:pPr>
            <w:r>
              <w:rPr>
                <w:rFonts w:ascii="Verdana" w:hAnsi="Verdana"/>
                <w:szCs w:val="20"/>
              </w:rPr>
              <w:t>tabelul datelor de ajustare a prețului Proiectării și Execuției</w:t>
            </w:r>
          </w:p>
        </w:tc>
        <w:tc>
          <w:tcPr>
            <w:tcW w:w="4215" w:type="dxa"/>
          </w:tcPr>
          <w:p>
            <w:pPr>
              <w:pStyle w:val="Heading2"/>
              <w:numPr>
                <w:ilvl w:val="0"/>
                <w:numId w:val="0"/>
              </w:numPr>
              <w:outlineLvl w:val="1"/>
              <w:rPr>
                <w:rFonts w:ascii="Verdana" w:hAnsi="Verdana"/>
                <w:szCs w:val="20"/>
              </w:rPr>
            </w:pPr>
          </w:p>
        </w:tc>
      </w:tr>
      <w:tr>
        <w:tc>
          <w:tcPr>
            <w:tcW w:w="9062" w:type="dxa"/>
            <w:gridSpan w:val="3"/>
            <w:shd w:val="clear" w:color="auto" w:fill="FFFFFF" w:themeFill="background1"/>
          </w:tcPr>
          <w:p>
            <w:pPr>
              <w:ind w:left="360"/>
              <w:rPr>
                <w:rFonts w:ascii="inherit" w:hAnsi="inherit"/>
                <w:color w:val="000000"/>
                <w:sz w:val="23"/>
                <w:szCs w:val="23"/>
                <w:bdr w:val="none" w:sz="0" w:space="0" w:color="auto" w:frame="1"/>
              </w:rPr>
            </w:pPr>
            <w:r>
              <w:rPr>
                <w:rStyle w:val="salnbdy"/>
                <w:rFonts w:ascii="Verdana" w:hAnsi="Verdana"/>
                <w:color w:val="000000"/>
                <w:bdr w:val="none" w:sz="0" w:space="0" w:color="auto" w:frame="1"/>
              </w:rPr>
              <w:t>Formula de ajustare a prețurilor</w:t>
            </w:r>
            <w:r>
              <w:rPr>
                <w:rStyle w:val="apple-converted-space"/>
                <w:rFonts w:ascii="Verdana" w:hAnsi="Verdana"/>
                <w:color w:val="000000"/>
                <w:bdr w:val="none" w:sz="0" w:space="0" w:color="auto" w:frame="1"/>
              </w:rPr>
              <w:t> </w:t>
            </w:r>
            <w:r>
              <w:rPr>
                <w:rStyle w:val="salnbdy"/>
                <w:rFonts w:ascii="Verdana" w:hAnsi="Verdana"/>
                <w:color w:val="000000"/>
                <w:bdr w:val="none" w:sz="0" w:space="0" w:color="auto" w:frame="1"/>
              </w:rPr>
              <w:t>este următoarea</w:t>
            </w:r>
            <w:r>
              <w:rPr>
                <w:rStyle w:val="salnbdy"/>
                <w:rFonts w:ascii="inherit" w:hAnsi="inherit"/>
                <w:color w:val="000000"/>
                <w:sz w:val="23"/>
                <w:szCs w:val="23"/>
                <w:bdr w:val="none" w:sz="0" w:space="0" w:color="auto" w:frame="1"/>
              </w:rPr>
              <w:t>:</w:t>
            </w:r>
            <w:r>
              <w:rPr>
                <w:rFonts w:ascii="inherit" w:hAnsi="inherit"/>
                <w:color w:val="000000"/>
                <w:sz w:val="23"/>
                <w:szCs w:val="23"/>
                <w:bdr w:val="none" w:sz="0" w:space="0" w:color="auto" w:frame="1"/>
              </w:rPr>
              <w:fldChar w:fldCharType="begin"/>
            </w:r>
            <w:r>
              <w:rPr>
                <w:rFonts w:ascii="inherit" w:hAnsi="inherit"/>
                <w:color w:val="000000"/>
                <w:sz w:val="23"/>
                <w:szCs w:val="23"/>
                <w:bdr w:val="none" w:sz="0" w:space="0" w:color="auto" w:frame="1"/>
              </w:rPr>
              <w:instrText xml:space="preserve"> INCLUDEPICTURE "https://legislatie.just.ro/../ImaginiDinActe/255065_A14000.jpg" \* MERGEFORMATINET </w:instrText>
            </w:r>
            <w:r>
              <w:rPr>
                <w:rFonts w:ascii="inherit" w:hAnsi="inherit"/>
                <w:color w:val="000000"/>
                <w:sz w:val="23"/>
                <w:szCs w:val="23"/>
                <w:bdr w:val="none" w:sz="0" w:space="0" w:color="auto" w:frame="1"/>
              </w:rPr>
              <w:fldChar w:fldCharType="end"/>
            </w:r>
          </w:p>
          <w:p>
            <w:pPr>
              <w:pStyle w:val="ListParagraph"/>
              <w:rPr>
                <w:rStyle w:val="spar"/>
                <w:rFonts w:ascii="inherit" w:hAnsi="inherit"/>
                <w:color w:val="000000"/>
                <w:sz w:val="23"/>
                <w:szCs w:val="23"/>
                <w:bdr w:val="none" w:sz="0" w:space="0" w:color="auto" w:frame="1"/>
              </w:rPr>
            </w:pPr>
          </w:p>
          <w:p>
            <w:r>
              <w:rPr>
                <w:noProof/>
                <w:lang w:val="en-US"/>
              </w:rPr>
              <w:drawing>
                <wp:inline distT="0" distB="0" distL="0" distR="0">
                  <wp:extent cx="3860800" cy="660400"/>
                  <wp:effectExtent l="0" t="0" r="0" b="0"/>
                  <wp:docPr id="2" name="Picture 2" descr="page18image2661418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18image26614185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0800" cy="660400"/>
                          </a:xfrm>
                          <a:prstGeom prst="rect">
                            <a:avLst/>
                          </a:prstGeom>
                          <a:noFill/>
                          <a:ln>
                            <a:noFill/>
                          </a:ln>
                        </pic:spPr>
                      </pic:pic>
                    </a:graphicData>
                  </a:graphic>
                </wp:inline>
              </w:drawing>
            </w:r>
          </w:p>
          <w:p>
            <w:pPr>
              <w:pStyle w:val="ListParagraph"/>
              <w:rPr>
                <w:rStyle w:val="spar"/>
                <w:rFonts w:ascii="inherit" w:hAnsi="inherit"/>
                <w:color w:val="000000"/>
                <w:sz w:val="23"/>
                <w:szCs w:val="23"/>
                <w:bdr w:val="none" w:sz="0" w:space="0" w:color="auto" w:frame="1"/>
              </w:rPr>
            </w:pPr>
          </w:p>
          <w:p>
            <w:pPr>
              <w:pStyle w:val="ListParagraph"/>
              <w:ind w:left="0" w:firstLine="720"/>
              <w:jc w:val="both"/>
              <w:rPr>
                <w:rFonts w:ascii="Verdana" w:hAnsi="Verdana"/>
                <w:i/>
                <w:iCs/>
              </w:rPr>
            </w:pPr>
            <w:r>
              <w:rPr>
                <w:rStyle w:val="spar"/>
                <w:rFonts w:ascii="Verdana" w:hAnsi="Verdana"/>
                <w:color w:val="000000"/>
                <w:bdr w:val="none" w:sz="0" w:space="0" w:color="auto" w:frame="1"/>
              </w:rPr>
              <w:t>cu condiția ca: Σ^10_i = 1 c_i = 1,unde:V_apl - valoarea actualizată a plății solicitată de către contractant la data depunerii solicitării de plată;V_pl - valoarea plății solicitată de către contractant la data depunerii solicitării de plată care nu face obiectul actualizării;V_sl - valoarea situațiilor de lucrări neactualizată depusă la plată de către contractant conform graficelor de execuție;c_i - ponderea elementului de cost semnificativ, stabilită în cadrul contractului;I_CCrci - indicele de cost pentru materialele semnificative sau alte elemente de cost semnificative publicate periodic de Institutul Național de Statistică, valabile cu 60 de zile înainte de ultima zi din luna de referință „n“ de depunere a situației de plată;I_CClrci - indicele de cost pentru materialele semnificative sau alte elemente de cost semnificative publicate periodic de Institutul Național de Statistică, valabile cu 30 de zile înainte de data depunerii ofertei.</w:t>
            </w:r>
            <w:r>
              <w:rPr>
                <w:rStyle w:val="salnttl"/>
                <w:rFonts w:ascii="Verdana" w:hAnsi="Verdana"/>
                <w:color w:val="000000"/>
                <w:bdr w:val="none" w:sz="0" w:space="0" w:color="auto" w:frame="1"/>
              </w:rPr>
              <w:t>(2)</w:t>
            </w:r>
            <w:r>
              <w:rPr>
                <w:rStyle w:val="apple-converted-space"/>
                <w:rFonts w:ascii="Verdana" w:hAnsi="Verdana"/>
                <w:color w:val="000000"/>
                <w:bdr w:val="none" w:sz="0" w:space="0" w:color="auto" w:frame="1"/>
              </w:rPr>
              <w:t> </w:t>
            </w:r>
            <w:r>
              <w:rPr>
                <w:rStyle w:val="salnbdy"/>
                <w:rFonts w:ascii="Verdana" w:hAnsi="Verdana"/>
                <w:color w:val="000000"/>
                <w:bdr w:val="none" w:sz="0" w:space="0" w:color="auto" w:frame="1"/>
              </w:rPr>
              <w:t>Prin element de cost semnificativ se înțelege orice categorie de cost specifică de natura materialelor, manoperei, utilajelor, echipamentelor și a altor categorii de costuri de natură similară care dețin o pondere însemnată în valoarea proiectului de infrastructură și sunt strict necesare pentru implementarea acestuia.</w:t>
            </w:r>
          </w:p>
        </w:tc>
      </w:tr>
      <w:tr>
        <w:tc>
          <w:tcPr>
            <w:tcW w:w="1476" w:type="dxa"/>
          </w:tcPr>
          <w:p>
            <w:pPr>
              <w:pStyle w:val="Heading2"/>
              <w:numPr>
                <w:ilvl w:val="0"/>
                <w:numId w:val="0"/>
              </w:numPr>
              <w:outlineLvl w:val="1"/>
              <w:rPr>
                <w:rFonts w:ascii="Verdana" w:hAnsi="Verdana"/>
                <w:szCs w:val="20"/>
              </w:rPr>
            </w:pPr>
            <w:r>
              <w:rPr>
                <w:rFonts w:ascii="Verdana" w:hAnsi="Verdana"/>
                <w:szCs w:val="20"/>
              </w:rPr>
              <w:t>48.8</w:t>
            </w:r>
          </w:p>
        </w:tc>
        <w:tc>
          <w:tcPr>
            <w:tcW w:w="3371" w:type="dxa"/>
          </w:tcPr>
          <w:p>
            <w:pPr>
              <w:pStyle w:val="Heading2"/>
              <w:numPr>
                <w:ilvl w:val="0"/>
                <w:numId w:val="0"/>
              </w:numPr>
              <w:outlineLvl w:val="1"/>
              <w:rPr>
                <w:rFonts w:ascii="Verdana" w:hAnsi="Verdana"/>
                <w:szCs w:val="20"/>
              </w:rPr>
            </w:pPr>
            <w:r>
              <w:rPr>
                <w:rFonts w:ascii="Verdana" w:hAnsi="Verdana"/>
                <w:szCs w:val="20"/>
              </w:rPr>
              <w:t>parametrul de ajustare a Tarifelor</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i/>
                <w:szCs w:val="20"/>
              </w:rPr>
              <w:t xml:space="preserve">Indicele Prețurilor de Consum comunicat de Institutul Național de Statistică </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Clauza 49 - Măsurare, evaluări și Sume Provizionate</w:t>
            </w:r>
          </w:p>
        </w:tc>
      </w:tr>
      <w:tr>
        <w:tc>
          <w:tcPr>
            <w:tcW w:w="1476" w:type="dxa"/>
          </w:tcPr>
          <w:p>
            <w:pPr>
              <w:pStyle w:val="Heading2"/>
              <w:numPr>
                <w:ilvl w:val="0"/>
                <w:numId w:val="0"/>
              </w:numPr>
              <w:outlineLvl w:val="1"/>
              <w:rPr>
                <w:rFonts w:ascii="Verdana" w:hAnsi="Verdana"/>
                <w:szCs w:val="20"/>
              </w:rPr>
            </w:pPr>
            <w:r>
              <w:rPr>
                <w:rFonts w:ascii="Verdana" w:hAnsi="Verdana"/>
                <w:szCs w:val="20"/>
              </w:rPr>
              <w:t>49.3</w:t>
            </w:r>
          </w:p>
        </w:tc>
        <w:tc>
          <w:tcPr>
            <w:tcW w:w="3371" w:type="dxa"/>
          </w:tcPr>
          <w:p>
            <w:pPr>
              <w:pStyle w:val="Heading2"/>
              <w:numPr>
                <w:ilvl w:val="0"/>
                <w:numId w:val="0"/>
              </w:numPr>
              <w:outlineLvl w:val="1"/>
              <w:rPr>
                <w:rFonts w:ascii="Verdana" w:hAnsi="Verdana"/>
                <w:szCs w:val="20"/>
              </w:rPr>
            </w:pPr>
            <w:r>
              <w:rPr>
                <w:rFonts w:ascii="Verdana" w:hAnsi="Verdana"/>
                <w:szCs w:val="20"/>
              </w:rPr>
              <w:t>Sume Provizionate</w:t>
            </w:r>
          </w:p>
        </w:tc>
        <w:tc>
          <w:tcPr>
            <w:tcW w:w="4215" w:type="dxa"/>
            <w:shd w:val="clear" w:color="auto" w:fill="FFFFFF" w:themeFill="background1"/>
          </w:tcPr>
          <w:p>
            <w:pPr>
              <w:pStyle w:val="Heading2"/>
              <w:numPr>
                <w:ilvl w:val="0"/>
                <w:numId w:val="0"/>
              </w:numPr>
              <w:jc w:val="both"/>
              <w:outlineLvl w:val="1"/>
              <w:rPr>
                <w:rFonts w:ascii="Verdana" w:hAnsi="Verdana"/>
                <w:szCs w:val="20"/>
                <w:highlight w:val="green"/>
              </w:rPr>
            </w:pPr>
            <w:r>
              <w:rPr>
                <w:rFonts w:ascii="Verdana" w:hAnsi="Verdana"/>
                <w:szCs w:val="20"/>
              </w:rPr>
              <w:t>604.853 lei, pentru realizare racord alimentare cu energie electrică</w:t>
            </w:r>
          </w:p>
        </w:tc>
      </w:tr>
      <w:tr>
        <w:tc>
          <w:tcPr>
            <w:tcW w:w="1476" w:type="dxa"/>
          </w:tcPr>
          <w:p>
            <w:pPr>
              <w:pStyle w:val="Heading2"/>
              <w:numPr>
                <w:ilvl w:val="0"/>
                <w:numId w:val="0"/>
              </w:numPr>
              <w:outlineLvl w:val="1"/>
              <w:rPr>
                <w:rFonts w:ascii="Verdana" w:hAnsi="Verdana"/>
                <w:szCs w:val="20"/>
              </w:rPr>
            </w:pPr>
            <w:r>
              <w:rPr>
                <w:rFonts w:ascii="Verdana" w:hAnsi="Verdana"/>
                <w:szCs w:val="20"/>
              </w:rPr>
              <w:t>49.3</w:t>
            </w:r>
          </w:p>
        </w:tc>
        <w:tc>
          <w:tcPr>
            <w:tcW w:w="3371" w:type="dxa"/>
          </w:tcPr>
          <w:p>
            <w:pPr>
              <w:pStyle w:val="Heading2"/>
              <w:numPr>
                <w:ilvl w:val="0"/>
                <w:numId w:val="0"/>
              </w:numPr>
              <w:outlineLvl w:val="1"/>
              <w:rPr>
                <w:rFonts w:ascii="Verdana" w:hAnsi="Verdana"/>
                <w:szCs w:val="20"/>
              </w:rPr>
            </w:pPr>
            <w:r>
              <w:rPr>
                <w:rFonts w:ascii="Verdana" w:hAnsi="Verdana"/>
                <w:szCs w:val="20"/>
              </w:rPr>
              <w:t>sumă pentru cheltuielile indirecte și profit</w:t>
            </w:r>
          </w:p>
        </w:tc>
        <w:tc>
          <w:tcPr>
            <w:tcW w:w="4215" w:type="dxa"/>
            <w:shd w:val="clear" w:color="auto" w:fill="FFFFFF" w:themeFill="background1"/>
          </w:tcPr>
          <w:p>
            <w:pPr>
              <w:pStyle w:val="Heading2"/>
              <w:numPr>
                <w:ilvl w:val="0"/>
                <w:numId w:val="0"/>
              </w:numPr>
              <w:outlineLvl w:val="1"/>
              <w:rPr>
                <w:rFonts w:ascii="Verdana" w:hAnsi="Verdana"/>
                <w:szCs w:val="20"/>
                <w:highlight w:val="green"/>
              </w:rPr>
            </w:pPr>
            <w:r>
              <w:rPr>
                <w:rFonts w:ascii="Verdana" w:hAnsi="Verdana"/>
                <w:szCs w:val="20"/>
              </w:rPr>
              <w:t>5% din sumele reale plătite (sau care trebuie plătite) de către Antreprenor</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Clauza 50 – Plăți</w:t>
            </w:r>
          </w:p>
        </w:tc>
      </w:tr>
      <w:tr>
        <w:tc>
          <w:tcPr>
            <w:tcW w:w="1476" w:type="dxa"/>
          </w:tcPr>
          <w:p>
            <w:pPr>
              <w:pStyle w:val="Heading2"/>
              <w:numPr>
                <w:ilvl w:val="0"/>
                <w:numId w:val="0"/>
              </w:numPr>
              <w:outlineLvl w:val="1"/>
              <w:rPr>
                <w:rFonts w:ascii="Verdana" w:hAnsi="Verdana"/>
                <w:szCs w:val="20"/>
              </w:rPr>
            </w:pPr>
            <w:r>
              <w:rPr>
                <w:rFonts w:ascii="Verdana" w:hAnsi="Verdana"/>
                <w:szCs w:val="20"/>
              </w:rPr>
              <w:t>50.1</w:t>
            </w:r>
          </w:p>
        </w:tc>
        <w:tc>
          <w:tcPr>
            <w:tcW w:w="3371" w:type="dxa"/>
          </w:tcPr>
          <w:p>
            <w:pPr>
              <w:pStyle w:val="Heading2"/>
              <w:numPr>
                <w:ilvl w:val="0"/>
                <w:numId w:val="0"/>
              </w:numPr>
              <w:outlineLvl w:val="1"/>
              <w:rPr>
                <w:rFonts w:ascii="Verdana" w:hAnsi="Verdana"/>
                <w:szCs w:val="20"/>
              </w:rPr>
            </w:pPr>
            <w:r>
              <w:rPr>
                <w:rFonts w:ascii="Verdana" w:hAnsi="Verdana"/>
                <w:szCs w:val="20"/>
              </w:rPr>
              <w:t>periodicitatea transmiterii Situațiilor de Lucrări după Data de Începere</w:t>
            </w:r>
          </w:p>
        </w:tc>
        <w:tc>
          <w:tcPr>
            <w:tcW w:w="4215" w:type="dxa"/>
            <w:shd w:val="clear" w:color="auto" w:fill="FFFFFF" w:themeFill="background1"/>
          </w:tcPr>
          <w:p>
            <w:pPr>
              <w:pStyle w:val="Heading2"/>
              <w:numPr>
                <w:ilvl w:val="0"/>
                <w:numId w:val="0"/>
              </w:numPr>
              <w:outlineLvl w:val="1"/>
              <w:rPr>
                <w:rFonts w:ascii="Verdana" w:hAnsi="Verdana"/>
                <w:szCs w:val="20"/>
                <w:highlight w:val="yellow"/>
              </w:rPr>
            </w:pPr>
            <w:r>
              <w:rPr>
                <w:rFonts w:ascii="Verdana" w:hAnsi="Verdana"/>
                <w:szCs w:val="20"/>
              </w:rPr>
              <w:t>Lunar (daca in luna de referința se înregistrează progres)</w:t>
            </w:r>
          </w:p>
        </w:tc>
      </w:tr>
      <w:tr>
        <w:tc>
          <w:tcPr>
            <w:tcW w:w="1476" w:type="dxa"/>
          </w:tcPr>
          <w:p>
            <w:pPr>
              <w:pStyle w:val="Heading2"/>
              <w:numPr>
                <w:ilvl w:val="0"/>
                <w:numId w:val="0"/>
              </w:numPr>
              <w:outlineLvl w:val="1"/>
              <w:rPr>
                <w:rFonts w:ascii="Verdana" w:hAnsi="Verdana"/>
                <w:szCs w:val="20"/>
              </w:rPr>
            </w:pPr>
            <w:r>
              <w:rPr>
                <w:rFonts w:ascii="Verdana" w:hAnsi="Verdana"/>
                <w:szCs w:val="20"/>
              </w:rPr>
              <w:t>50.3 a)</w:t>
            </w:r>
          </w:p>
        </w:tc>
        <w:tc>
          <w:tcPr>
            <w:tcW w:w="3371" w:type="dxa"/>
          </w:tcPr>
          <w:p>
            <w:pPr>
              <w:pStyle w:val="Heading2"/>
              <w:numPr>
                <w:ilvl w:val="0"/>
                <w:numId w:val="0"/>
              </w:numPr>
              <w:outlineLvl w:val="1"/>
              <w:rPr>
                <w:rFonts w:ascii="Verdana" w:hAnsi="Verdana"/>
                <w:szCs w:val="20"/>
              </w:rPr>
            </w:pPr>
            <w:r>
              <w:rPr>
                <w:rFonts w:ascii="Verdana" w:hAnsi="Verdana"/>
                <w:szCs w:val="20"/>
              </w:rPr>
              <w:t>lista Echipamentelor și Materialelor pentru plată la aducerea lor pe Șantier sau în alt loc aprobat de Supervizor</w:t>
            </w:r>
          </w:p>
        </w:tc>
        <w:tc>
          <w:tcPr>
            <w:tcW w:w="4215" w:type="dxa"/>
            <w:shd w:val="clear" w:color="auto" w:fill="FFFFFF" w:themeFill="background1"/>
          </w:tcPr>
          <w:p>
            <w:pPr>
              <w:pStyle w:val="Heading2"/>
              <w:numPr>
                <w:ilvl w:val="0"/>
                <w:numId w:val="23"/>
              </w:numPr>
              <w:spacing w:after="120"/>
              <w:ind w:left="475" w:hanging="284"/>
              <w:outlineLvl w:val="1"/>
              <w:rPr>
                <w:rFonts w:ascii="Verdana" w:hAnsi="Verdana"/>
                <w:szCs w:val="20"/>
              </w:rPr>
            </w:pPr>
            <w:r>
              <w:rPr>
                <w:rFonts w:ascii="Verdana" w:hAnsi="Verdana"/>
                <w:szCs w:val="20"/>
              </w:rPr>
              <w:t xml:space="preserve">Utilaje si echipamente hala tratare mecano-biologica (tocatoare, benzi transportoare, separatoare, site rotative, presa, electrostivuitoare, etc) </w:t>
            </w:r>
          </w:p>
          <w:p>
            <w:pPr>
              <w:pStyle w:val="Heading2"/>
              <w:numPr>
                <w:ilvl w:val="0"/>
                <w:numId w:val="23"/>
              </w:numPr>
              <w:spacing w:after="120"/>
              <w:ind w:left="475" w:hanging="284"/>
              <w:outlineLvl w:val="1"/>
              <w:rPr>
                <w:rFonts w:ascii="Verdana" w:hAnsi="Verdana"/>
                <w:szCs w:val="20"/>
              </w:rPr>
            </w:pPr>
            <w:r>
              <w:rPr>
                <w:rFonts w:ascii="Verdana" w:hAnsi="Verdana"/>
                <w:szCs w:val="20"/>
              </w:rPr>
              <w:t xml:space="preserve">Utilaje si echipamente hala tratare biologica (tocatoare, pompe digestat, sistem gestionare gaz, uscare digestat, etc) </w:t>
            </w:r>
          </w:p>
          <w:p>
            <w:pPr>
              <w:pStyle w:val="Heading2"/>
              <w:numPr>
                <w:ilvl w:val="0"/>
                <w:numId w:val="23"/>
              </w:numPr>
              <w:spacing w:after="120"/>
              <w:ind w:left="475" w:hanging="284"/>
              <w:outlineLvl w:val="1"/>
              <w:rPr>
                <w:rFonts w:ascii="Verdana" w:hAnsi="Verdana"/>
                <w:szCs w:val="20"/>
              </w:rPr>
            </w:pPr>
            <w:r>
              <w:rPr>
                <w:rFonts w:ascii="Verdana" w:hAnsi="Verdana"/>
                <w:szCs w:val="20"/>
              </w:rPr>
              <w:t>Echipamente mobile/vehicule</w:t>
            </w:r>
          </w:p>
        </w:tc>
      </w:tr>
      <w:tr>
        <w:tc>
          <w:tcPr>
            <w:tcW w:w="1476" w:type="dxa"/>
          </w:tcPr>
          <w:p>
            <w:pPr>
              <w:pStyle w:val="Heading2"/>
              <w:numPr>
                <w:ilvl w:val="0"/>
                <w:numId w:val="0"/>
              </w:numPr>
              <w:outlineLvl w:val="1"/>
              <w:rPr>
                <w:rFonts w:ascii="Verdana" w:hAnsi="Verdana"/>
                <w:szCs w:val="20"/>
              </w:rPr>
            </w:pPr>
            <w:r>
              <w:rPr>
                <w:rFonts w:ascii="Verdana" w:hAnsi="Verdana"/>
                <w:szCs w:val="20"/>
              </w:rPr>
              <w:lastRenderedPageBreak/>
              <w:t>50.4</w:t>
            </w:r>
          </w:p>
        </w:tc>
        <w:tc>
          <w:tcPr>
            <w:tcW w:w="3371" w:type="dxa"/>
          </w:tcPr>
          <w:p>
            <w:pPr>
              <w:pStyle w:val="Heading2"/>
              <w:numPr>
                <w:ilvl w:val="0"/>
                <w:numId w:val="0"/>
              </w:numPr>
              <w:outlineLvl w:val="1"/>
              <w:rPr>
                <w:rFonts w:ascii="Verdana" w:hAnsi="Verdana"/>
                <w:szCs w:val="20"/>
              </w:rPr>
            </w:pPr>
            <w:r>
              <w:rPr>
                <w:rFonts w:ascii="Verdana" w:hAnsi="Verdana"/>
                <w:szCs w:val="20"/>
              </w:rPr>
              <w:t>valoarea unor obligații neîndeplinite sau nerespectate</w:t>
            </w:r>
          </w:p>
        </w:tc>
        <w:tc>
          <w:tcPr>
            <w:tcW w:w="4215" w:type="dxa"/>
            <w:shd w:val="clear" w:color="auto" w:fill="FFFFFF" w:themeFill="background1"/>
          </w:tcPr>
          <w:p>
            <w:pPr>
              <w:pStyle w:val="Heading2"/>
              <w:numPr>
                <w:ilvl w:val="0"/>
                <w:numId w:val="0"/>
              </w:numPr>
              <w:spacing w:after="120"/>
              <w:outlineLvl w:val="1"/>
              <w:rPr>
                <w:rFonts w:ascii="Verdana" w:hAnsi="Verdana"/>
                <w:szCs w:val="20"/>
              </w:rPr>
            </w:pPr>
            <w:r>
              <w:rPr>
                <w:rFonts w:ascii="Verdana" w:hAnsi="Verdana"/>
                <w:szCs w:val="20"/>
              </w:rPr>
              <w:t>- înlocuirea personalului cheie al Antreprenorului fără respectarea prevederilor subclauzelor 14.3 și/sau 14.4: 10.000 lei pe eveniment</w:t>
            </w:r>
          </w:p>
          <w:p>
            <w:pPr>
              <w:pStyle w:val="Heading2"/>
              <w:numPr>
                <w:ilvl w:val="0"/>
                <w:numId w:val="0"/>
              </w:numPr>
              <w:spacing w:after="120"/>
              <w:outlineLvl w:val="1"/>
              <w:rPr>
                <w:rFonts w:ascii="Verdana" w:hAnsi="Verdana"/>
                <w:szCs w:val="20"/>
              </w:rPr>
            </w:pPr>
            <w:r>
              <w:rPr>
                <w:rFonts w:ascii="Verdana" w:hAnsi="Verdana"/>
                <w:szCs w:val="20"/>
              </w:rPr>
              <w:t xml:space="preserve"> - nerespectarea prevederilor subclauzei 27.2: 5.000 lei pe zi - nerespectarea prevederilor subclauzei 27.3: 20.000 lei pe zi - nerespectarea prevederilor subclauzei 30.1: 5.000 lei pe zi</w:t>
            </w:r>
          </w:p>
          <w:p>
            <w:pPr>
              <w:pStyle w:val="Heading2"/>
              <w:numPr>
                <w:ilvl w:val="0"/>
                <w:numId w:val="0"/>
              </w:numPr>
              <w:spacing w:after="120"/>
              <w:outlineLvl w:val="1"/>
              <w:rPr>
                <w:rFonts w:ascii="Verdana" w:hAnsi="Verdana"/>
                <w:szCs w:val="20"/>
              </w:rPr>
            </w:pPr>
            <w:r>
              <w:rPr>
                <w:rFonts w:ascii="Verdana" w:hAnsi="Verdana"/>
                <w:szCs w:val="20"/>
              </w:rPr>
              <w:t>- acceptarea la Facilitate a unor Deșeuri care nu îndeplinesc criteriile prevăzute prin procedurile de acceptare a Deșeurilor la Facilitate: 10.000 lei pe eveniment, la care se adaugă 5.000 lei pe tonă de Deșeuri care nu îndeplinesc criteriile prevăzute prin procedurile de acceptare a Deșeurilor la Facilitate</w:t>
            </w:r>
          </w:p>
          <w:p>
            <w:pPr>
              <w:pStyle w:val="Heading2"/>
              <w:numPr>
                <w:ilvl w:val="0"/>
                <w:numId w:val="0"/>
              </w:numPr>
              <w:spacing w:after="120"/>
              <w:outlineLvl w:val="1"/>
              <w:rPr>
                <w:rFonts w:ascii="Verdana" w:hAnsi="Verdana"/>
                <w:szCs w:val="20"/>
              </w:rPr>
            </w:pPr>
            <w:r>
              <w:rPr>
                <w:rFonts w:ascii="Verdana" w:hAnsi="Verdana"/>
                <w:szCs w:val="20"/>
              </w:rPr>
              <w:t>- nerespectarea prevederilor subclauzei 35b.11: 5.000 lei pe eveniment</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Clauza 61 - Defecte și Garanție</w:t>
            </w:r>
          </w:p>
        </w:tc>
      </w:tr>
      <w:tr>
        <w:tc>
          <w:tcPr>
            <w:tcW w:w="1476" w:type="dxa"/>
          </w:tcPr>
          <w:p>
            <w:pPr>
              <w:pStyle w:val="Heading2"/>
              <w:numPr>
                <w:ilvl w:val="0"/>
                <w:numId w:val="0"/>
              </w:numPr>
              <w:outlineLvl w:val="1"/>
              <w:rPr>
                <w:rFonts w:ascii="Verdana" w:hAnsi="Verdana"/>
                <w:szCs w:val="20"/>
              </w:rPr>
            </w:pPr>
            <w:r>
              <w:rPr>
                <w:rFonts w:ascii="Verdana" w:hAnsi="Verdana"/>
                <w:szCs w:val="20"/>
              </w:rPr>
              <w:t>61.13</w:t>
            </w:r>
          </w:p>
        </w:tc>
        <w:tc>
          <w:tcPr>
            <w:tcW w:w="3371" w:type="dxa"/>
          </w:tcPr>
          <w:p>
            <w:pPr>
              <w:pStyle w:val="Heading2"/>
              <w:numPr>
                <w:ilvl w:val="0"/>
                <w:numId w:val="0"/>
              </w:numPr>
              <w:outlineLvl w:val="1"/>
              <w:rPr>
                <w:rFonts w:ascii="Verdana" w:hAnsi="Verdana"/>
                <w:szCs w:val="20"/>
              </w:rPr>
            </w:pPr>
            <w:r>
              <w:rPr>
                <w:rFonts w:ascii="Verdana" w:hAnsi="Verdana"/>
                <w:szCs w:val="20"/>
              </w:rPr>
              <w:t>durata Perioadei de Garanție</w:t>
            </w:r>
          </w:p>
        </w:tc>
        <w:tc>
          <w:tcPr>
            <w:tcW w:w="4215" w:type="dxa"/>
            <w:shd w:val="clear" w:color="auto" w:fill="FFFFFF" w:themeFill="background1"/>
          </w:tcPr>
          <w:p>
            <w:pPr>
              <w:pStyle w:val="Heading2"/>
              <w:numPr>
                <w:ilvl w:val="0"/>
                <w:numId w:val="0"/>
              </w:numPr>
              <w:spacing w:after="120"/>
              <w:outlineLvl w:val="1"/>
              <w:rPr>
                <w:rFonts w:ascii="Verdana" w:hAnsi="Verdana"/>
                <w:szCs w:val="20"/>
              </w:rPr>
            </w:pPr>
            <w:r>
              <w:rPr>
                <w:rFonts w:ascii="Verdana" w:hAnsi="Verdana"/>
                <w:szCs w:val="20"/>
              </w:rPr>
              <w:t xml:space="preserve">- 5 ani pentru construcțiile încadrate în categoriile de importanță A și B, în sensul Legii; </w:t>
            </w:r>
          </w:p>
          <w:p>
            <w:pPr>
              <w:pStyle w:val="Heading2"/>
              <w:numPr>
                <w:ilvl w:val="0"/>
                <w:numId w:val="0"/>
              </w:numPr>
              <w:spacing w:after="120"/>
              <w:outlineLvl w:val="1"/>
              <w:rPr>
                <w:rFonts w:ascii="Verdana" w:hAnsi="Verdana"/>
                <w:szCs w:val="20"/>
              </w:rPr>
            </w:pPr>
            <w:r>
              <w:rPr>
                <w:rFonts w:ascii="Verdana" w:hAnsi="Verdana"/>
                <w:szCs w:val="20"/>
              </w:rPr>
              <w:t xml:space="preserve">- 3 ani pentru construcțiile încadrate în categoria de importanță C, în sensul Legii; </w:t>
            </w:r>
          </w:p>
          <w:p>
            <w:pPr>
              <w:pStyle w:val="Heading2"/>
              <w:numPr>
                <w:ilvl w:val="0"/>
                <w:numId w:val="0"/>
              </w:numPr>
              <w:spacing w:after="120"/>
              <w:outlineLvl w:val="1"/>
              <w:rPr>
                <w:rFonts w:ascii="Verdana" w:hAnsi="Verdana"/>
                <w:szCs w:val="20"/>
              </w:rPr>
            </w:pPr>
            <w:r>
              <w:rPr>
                <w:rFonts w:ascii="Verdana" w:hAnsi="Verdana"/>
                <w:szCs w:val="20"/>
              </w:rPr>
              <w:t>- 1 an pentru construcțiile încadrate în categoria de importanță D, în sensul Legii.</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Clauza 64 - Rezilierea de către Beneficiar</w:t>
            </w:r>
          </w:p>
        </w:tc>
      </w:tr>
      <w:tr>
        <w:tc>
          <w:tcPr>
            <w:tcW w:w="1476" w:type="dxa"/>
          </w:tcPr>
          <w:p>
            <w:pPr>
              <w:pStyle w:val="Heading2"/>
              <w:numPr>
                <w:ilvl w:val="0"/>
                <w:numId w:val="0"/>
              </w:numPr>
              <w:outlineLvl w:val="1"/>
              <w:rPr>
                <w:rFonts w:ascii="Verdana" w:hAnsi="Verdana"/>
                <w:szCs w:val="20"/>
              </w:rPr>
            </w:pPr>
            <w:r>
              <w:rPr>
                <w:rFonts w:ascii="Verdana" w:hAnsi="Verdana"/>
                <w:szCs w:val="20"/>
              </w:rPr>
              <w:t>64.13</w:t>
            </w:r>
          </w:p>
        </w:tc>
        <w:tc>
          <w:tcPr>
            <w:tcW w:w="3371" w:type="dxa"/>
          </w:tcPr>
          <w:p>
            <w:pPr>
              <w:pStyle w:val="Heading2"/>
              <w:numPr>
                <w:ilvl w:val="0"/>
                <w:numId w:val="0"/>
              </w:numPr>
              <w:outlineLvl w:val="1"/>
              <w:rPr>
                <w:rFonts w:ascii="Verdana" w:hAnsi="Verdana"/>
                <w:szCs w:val="20"/>
              </w:rPr>
            </w:pPr>
            <w:r>
              <w:rPr>
                <w:rFonts w:ascii="Verdana" w:hAnsi="Verdana"/>
                <w:szCs w:val="20"/>
              </w:rPr>
              <w:t>cuantumul clauzei penale în cazul rezilierii Contractului în conformitate cu prevederile subclauzei 64.1.m)</w:t>
            </w:r>
          </w:p>
        </w:tc>
        <w:tc>
          <w:tcPr>
            <w:tcW w:w="4215" w:type="dxa"/>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5% din valoarea contractului aferenta primului an de operare</w:t>
            </w:r>
          </w:p>
        </w:tc>
      </w:tr>
      <w:tr>
        <w:tc>
          <w:tcPr>
            <w:tcW w:w="9062" w:type="dxa"/>
            <w:gridSpan w:val="3"/>
            <w:shd w:val="clear" w:color="auto" w:fill="FFFFFF" w:themeFill="background1"/>
          </w:tcPr>
          <w:p>
            <w:pPr>
              <w:pStyle w:val="Heading2"/>
              <w:numPr>
                <w:ilvl w:val="0"/>
                <w:numId w:val="0"/>
              </w:numPr>
              <w:outlineLvl w:val="1"/>
              <w:rPr>
                <w:rFonts w:ascii="Verdana" w:hAnsi="Verdana"/>
                <w:szCs w:val="20"/>
              </w:rPr>
            </w:pPr>
            <w:r>
              <w:rPr>
                <w:rFonts w:ascii="Verdana" w:hAnsi="Verdana"/>
                <w:szCs w:val="20"/>
              </w:rPr>
              <w:t>Clauza 70 - Dispute și arbitraj</w:t>
            </w:r>
          </w:p>
        </w:tc>
      </w:tr>
      <w:tr>
        <w:tc>
          <w:tcPr>
            <w:tcW w:w="1476" w:type="dxa"/>
          </w:tcPr>
          <w:p>
            <w:pPr>
              <w:pStyle w:val="Heading2"/>
              <w:numPr>
                <w:ilvl w:val="0"/>
                <w:numId w:val="0"/>
              </w:numPr>
              <w:outlineLvl w:val="1"/>
              <w:rPr>
                <w:rFonts w:ascii="Verdana" w:hAnsi="Verdana"/>
                <w:szCs w:val="20"/>
              </w:rPr>
            </w:pPr>
            <w:r>
              <w:rPr>
                <w:rFonts w:ascii="Verdana" w:hAnsi="Verdana"/>
                <w:szCs w:val="20"/>
              </w:rPr>
              <w:t>70.4</w:t>
            </w:r>
          </w:p>
        </w:tc>
        <w:tc>
          <w:tcPr>
            <w:tcW w:w="3371" w:type="dxa"/>
          </w:tcPr>
          <w:p>
            <w:pPr>
              <w:pStyle w:val="Heading2"/>
              <w:numPr>
                <w:ilvl w:val="0"/>
                <w:numId w:val="0"/>
              </w:numPr>
              <w:outlineLvl w:val="1"/>
              <w:rPr>
                <w:rFonts w:ascii="Verdana" w:hAnsi="Verdana"/>
                <w:szCs w:val="20"/>
              </w:rPr>
            </w:pPr>
            <w:r>
              <w:rPr>
                <w:rFonts w:ascii="Verdana" w:hAnsi="Verdana"/>
                <w:szCs w:val="20"/>
              </w:rPr>
              <w:t>numărul de arbitri</w:t>
            </w:r>
          </w:p>
        </w:tc>
        <w:tc>
          <w:tcPr>
            <w:tcW w:w="4215" w:type="dxa"/>
            <w:shd w:val="clear" w:color="auto" w:fill="FFFFFF" w:themeFill="background1"/>
          </w:tcPr>
          <w:p>
            <w:pPr>
              <w:pStyle w:val="Heading2"/>
              <w:numPr>
                <w:ilvl w:val="0"/>
                <w:numId w:val="0"/>
              </w:numPr>
              <w:outlineLvl w:val="1"/>
              <w:rPr>
                <w:rFonts w:ascii="Verdana" w:hAnsi="Verdana"/>
                <w:szCs w:val="20"/>
                <w:highlight w:val="yellow"/>
              </w:rPr>
            </w:pPr>
            <w:r>
              <w:rPr>
                <w:rFonts w:ascii="Verdana" w:hAnsi="Verdana"/>
                <w:szCs w:val="20"/>
              </w:rPr>
              <w:t>3</w:t>
            </w:r>
          </w:p>
        </w:tc>
      </w:tr>
      <w:tr>
        <w:tc>
          <w:tcPr>
            <w:tcW w:w="1476" w:type="dxa"/>
          </w:tcPr>
          <w:p>
            <w:pPr>
              <w:pStyle w:val="Heading2"/>
              <w:numPr>
                <w:ilvl w:val="0"/>
                <w:numId w:val="0"/>
              </w:numPr>
              <w:outlineLvl w:val="1"/>
              <w:rPr>
                <w:rFonts w:ascii="Verdana" w:hAnsi="Verdana"/>
                <w:szCs w:val="20"/>
              </w:rPr>
            </w:pPr>
            <w:r>
              <w:rPr>
                <w:rFonts w:ascii="Verdana" w:hAnsi="Verdana"/>
                <w:szCs w:val="20"/>
              </w:rPr>
              <w:t>70.5</w:t>
            </w:r>
          </w:p>
        </w:tc>
        <w:tc>
          <w:tcPr>
            <w:tcW w:w="3371" w:type="dxa"/>
          </w:tcPr>
          <w:p>
            <w:pPr>
              <w:pStyle w:val="Heading2"/>
              <w:numPr>
                <w:ilvl w:val="0"/>
                <w:numId w:val="0"/>
              </w:numPr>
              <w:outlineLvl w:val="1"/>
              <w:rPr>
                <w:rFonts w:ascii="Verdana" w:hAnsi="Verdana"/>
                <w:szCs w:val="20"/>
              </w:rPr>
            </w:pPr>
            <w:r>
              <w:rPr>
                <w:rFonts w:ascii="Verdana" w:hAnsi="Verdana"/>
                <w:szCs w:val="20"/>
              </w:rPr>
              <w:t>locul arbitrajului</w:t>
            </w:r>
          </w:p>
        </w:tc>
        <w:tc>
          <w:tcPr>
            <w:tcW w:w="4215" w:type="dxa"/>
            <w:shd w:val="clear" w:color="auto" w:fill="FFFFFF" w:themeFill="background1"/>
          </w:tcPr>
          <w:p>
            <w:pPr>
              <w:pStyle w:val="Heading2"/>
              <w:numPr>
                <w:ilvl w:val="0"/>
                <w:numId w:val="0"/>
              </w:numPr>
              <w:outlineLvl w:val="1"/>
              <w:rPr>
                <w:rFonts w:ascii="Verdana" w:hAnsi="Verdana"/>
                <w:szCs w:val="20"/>
                <w:highlight w:val="yellow"/>
              </w:rPr>
            </w:pPr>
            <w:r>
              <w:rPr>
                <w:rFonts w:ascii="Verdana" w:hAnsi="Verdana"/>
                <w:szCs w:val="20"/>
              </w:rPr>
              <w:t>București</w:t>
            </w:r>
          </w:p>
        </w:tc>
      </w:tr>
      <w:tr>
        <w:tc>
          <w:tcPr>
            <w:tcW w:w="1476" w:type="dxa"/>
          </w:tcPr>
          <w:p>
            <w:pPr>
              <w:pStyle w:val="Heading2"/>
              <w:numPr>
                <w:ilvl w:val="0"/>
                <w:numId w:val="0"/>
              </w:numPr>
              <w:outlineLvl w:val="1"/>
              <w:rPr>
                <w:rFonts w:ascii="Verdana" w:hAnsi="Verdana"/>
                <w:szCs w:val="20"/>
              </w:rPr>
            </w:pPr>
            <w:r>
              <w:rPr>
                <w:rFonts w:ascii="Verdana" w:hAnsi="Verdana"/>
                <w:szCs w:val="20"/>
              </w:rPr>
              <w:t>70.5</w:t>
            </w:r>
          </w:p>
        </w:tc>
        <w:tc>
          <w:tcPr>
            <w:tcW w:w="3371" w:type="dxa"/>
          </w:tcPr>
          <w:p>
            <w:pPr>
              <w:pStyle w:val="Heading2"/>
              <w:numPr>
                <w:ilvl w:val="0"/>
                <w:numId w:val="0"/>
              </w:numPr>
              <w:outlineLvl w:val="1"/>
              <w:rPr>
                <w:rFonts w:ascii="Verdana" w:hAnsi="Verdana"/>
                <w:szCs w:val="20"/>
              </w:rPr>
            </w:pPr>
            <w:r>
              <w:rPr>
                <w:rFonts w:ascii="Verdana" w:hAnsi="Verdana"/>
                <w:szCs w:val="20"/>
              </w:rPr>
              <w:t>limba arbitrajului</w:t>
            </w:r>
          </w:p>
        </w:tc>
        <w:tc>
          <w:tcPr>
            <w:tcW w:w="4215" w:type="dxa"/>
          </w:tcPr>
          <w:p>
            <w:pPr>
              <w:pStyle w:val="Heading2"/>
              <w:numPr>
                <w:ilvl w:val="0"/>
                <w:numId w:val="0"/>
              </w:numPr>
              <w:outlineLvl w:val="1"/>
              <w:rPr>
                <w:rFonts w:ascii="Verdana" w:hAnsi="Verdana"/>
                <w:szCs w:val="20"/>
                <w:highlight w:val="yellow"/>
              </w:rPr>
            </w:pPr>
            <w:r>
              <w:rPr>
                <w:rFonts w:ascii="Verdana" w:hAnsi="Verdana"/>
                <w:szCs w:val="20"/>
              </w:rPr>
              <w:t>Limba română</w:t>
            </w:r>
          </w:p>
        </w:tc>
      </w:tr>
      <w:tr>
        <w:tc>
          <w:tcPr>
            <w:tcW w:w="9062" w:type="dxa"/>
            <w:gridSpan w:val="3"/>
          </w:tcPr>
          <w:p>
            <w:pPr>
              <w:pStyle w:val="Heading2"/>
              <w:numPr>
                <w:ilvl w:val="0"/>
                <w:numId w:val="0"/>
              </w:numPr>
              <w:outlineLvl w:val="1"/>
              <w:rPr>
                <w:rFonts w:ascii="Verdana" w:hAnsi="Verdana"/>
                <w:szCs w:val="20"/>
              </w:rPr>
            </w:pPr>
            <w:r>
              <w:rPr>
                <w:rFonts w:ascii="Verdana" w:hAnsi="Verdana"/>
                <w:szCs w:val="20"/>
              </w:rPr>
              <w:t>Clauza 71 – Legea</w:t>
            </w:r>
          </w:p>
        </w:tc>
      </w:tr>
      <w:tr>
        <w:tc>
          <w:tcPr>
            <w:tcW w:w="1476" w:type="dxa"/>
          </w:tcPr>
          <w:p>
            <w:pPr>
              <w:pStyle w:val="Heading2"/>
              <w:numPr>
                <w:ilvl w:val="0"/>
                <w:numId w:val="0"/>
              </w:numPr>
              <w:outlineLvl w:val="1"/>
              <w:rPr>
                <w:rFonts w:ascii="Verdana" w:hAnsi="Verdana"/>
                <w:szCs w:val="20"/>
              </w:rPr>
            </w:pPr>
            <w:r>
              <w:rPr>
                <w:rFonts w:ascii="Verdana" w:hAnsi="Verdana"/>
                <w:szCs w:val="20"/>
              </w:rPr>
              <w:t>71.1</w:t>
            </w:r>
          </w:p>
        </w:tc>
        <w:tc>
          <w:tcPr>
            <w:tcW w:w="3371" w:type="dxa"/>
          </w:tcPr>
          <w:p>
            <w:pPr>
              <w:pStyle w:val="Heading2"/>
              <w:numPr>
                <w:ilvl w:val="0"/>
                <w:numId w:val="0"/>
              </w:numPr>
              <w:outlineLvl w:val="1"/>
              <w:rPr>
                <w:rFonts w:ascii="Verdana" w:hAnsi="Verdana"/>
                <w:szCs w:val="20"/>
              </w:rPr>
            </w:pPr>
            <w:r>
              <w:rPr>
                <w:rFonts w:ascii="Verdana" w:hAnsi="Verdana"/>
                <w:szCs w:val="20"/>
              </w:rPr>
              <w:t>legea care guvernează Contractul</w:t>
            </w:r>
          </w:p>
        </w:tc>
        <w:tc>
          <w:tcPr>
            <w:tcW w:w="4215" w:type="dxa"/>
          </w:tcPr>
          <w:p>
            <w:pPr>
              <w:pStyle w:val="Heading2"/>
              <w:numPr>
                <w:ilvl w:val="0"/>
                <w:numId w:val="0"/>
              </w:numPr>
              <w:outlineLvl w:val="1"/>
              <w:rPr>
                <w:rFonts w:ascii="Verdana" w:hAnsi="Verdana"/>
                <w:szCs w:val="20"/>
              </w:rPr>
            </w:pPr>
            <w:r>
              <w:rPr>
                <w:rFonts w:ascii="Verdana" w:hAnsi="Verdana"/>
                <w:szCs w:val="20"/>
              </w:rPr>
              <w:t>Legea română</w:t>
            </w:r>
          </w:p>
        </w:tc>
      </w:tr>
    </w:tbl>
    <w:p>
      <w:pPr>
        <w:pStyle w:val="Heading1"/>
        <w:tabs>
          <w:tab w:val="clear" w:pos="851"/>
        </w:tabs>
        <w:ind w:left="450" w:hanging="450"/>
        <w:jc w:val="both"/>
        <w:rPr>
          <w:rFonts w:ascii="Verdana" w:hAnsi="Verdana"/>
          <w:b w:val="0"/>
          <w:bCs w:val="0"/>
          <w:sz w:val="20"/>
          <w:szCs w:val="20"/>
        </w:rPr>
      </w:pPr>
      <w:r>
        <w:rPr>
          <w:rFonts w:ascii="Verdana" w:hAnsi="Verdana"/>
          <w:b w:val="0"/>
          <w:bCs w:val="0"/>
          <w:sz w:val="20"/>
          <w:szCs w:val="20"/>
        </w:rPr>
        <w:lastRenderedPageBreak/>
        <w:t xml:space="preserve">Prezentul Acord Contractual își produce efectele începând cu data semnării sale de către ultima parte. </w:t>
      </w:r>
    </w:p>
    <w:p>
      <w:pPr>
        <w:pStyle w:val="Heading1"/>
        <w:numPr>
          <w:ilvl w:val="0"/>
          <w:numId w:val="0"/>
        </w:numPr>
        <w:ind w:left="450"/>
        <w:jc w:val="both"/>
        <w:rPr>
          <w:rFonts w:ascii="Verdana" w:hAnsi="Verdana"/>
          <w:b w:val="0"/>
          <w:bCs w:val="0"/>
          <w:sz w:val="20"/>
          <w:szCs w:val="20"/>
        </w:rPr>
      </w:pPr>
      <w:r>
        <w:rPr>
          <w:rFonts w:ascii="Verdana" w:hAnsi="Verdana"/>
          <w:b w:val="0"/>
          <w:bCs w:val="0"/>
          <w:sz w:val="20"/>
          <w:szCs w:val="20"/>
        </w:rPr>
        <w:t xml:space="preserve">Redactat în limba română în 3 (trei) exemplare originale, din care 2 (două) exemplare originale pentru Beneficiar și 1 (un) exemplar original pentru Antreprenor. </w:t>
      </w:r>
    </w:p>
    <w:p>
      <w:pPr>
        <w:pStyle w:val="Heading1"/>
        <w:numPr>
          <w:ilvl w:val="0"/>
          <w:numId w:val="0"/>
        </w:numPr>
        <w:ind w:left="450"/>
        <w:jc w:val="both"/>
        <w:rPr>
          <w:rFonts w:ascii="Verdana" w:hAnsi="Verdana"/>
          <w:b w:val="0"/>
          <w:bCs w:val="0"/>
          <w:sz w:val="20"/>
          <w:szCs w:val="20"/>
        </w:rPr>
      </w:pPr>
      <w:r>
        <w:rPr>
          <w:rFonts w:ascii="Verdana" w:hAnsi="Verdana"/>
          <w:b w:val="0"/>
          <w:bCs w:val="0"/>
          <w:sz w:val="20"/>
          <w:szCs w:val="20"/>
        </w:rPr>
        <w:t xml:space="preserve">                                              </w:t>
      </w:r>
    </w:p>
    <w:p>
      <w:pPr>
        <w:pStyle w:val="Heading1"/>
        <w:numPr>
          <w:ilvl w:val="0"/>
          <w:numId w:val="0"/>
        </w:numPr>
        <w:ind w:left="450"/>
        <w:jc w:val="both"/>
        <w:rPr>
          <w:rFonts w:ascii="Verdana" w:hAnsi="Verdana"/>
          <w:sz w:val="20"/>
          <w:szCs w:val="20"/>
        </w:rPr>
      </w:pPr>
      <w:r>
        <w:rPr>
          <w:rFonts w:ascii="Verdana" w:hAnsi="Verdana"/>
          <w:sz w:val="20"/>
          <w:szCs w:val="20"/>
        </w:rPr>
        <w:t xml:space="preserve">                                                     Pentru Beneficiar               Pentru Antreprenor </w:t>
      </w:r>
    </w:p>
    <w:p>
      <w:pPr>
        <w:pStyle w:val="Heading1"/>
        <w:numPr>
          <w:ilvl w:val="0"/>
          <w:numId w:val="0"/>
        </w:numPr>
        <w:ind w:left="450"/>
        <w:jc w:val="both"/>
        <w:rPr>
          <w:rFonts w:ascii="Verdana" w:hAnsi="Verdana"/>
          <w:b w:val="0"/>
          <w:bCs w:val="0"/>
          <w:sz w:val="20"/>
          <w:szCs w:val="20"/>
        </w:rPr>
      </w:pPr>
      <w:r>
        <w:rPr>
          <w:rFonts w:ascii="Verdana" w:hAnsi="Verdana"/>
          <w:b w:val="0"/>
          <w:bCs w:val="0"/>
          <w:sz w:val="20"/>
          <w:szCs w:val="20"/>
        </w:rPr>
        <w:t>Nume:</w:t>
      </w:r>
    </w:p>
    <w:p>
      <w:pPr>
        <w:pStyle w:val="Heading1"/>
        <w:numPr>
          <w:ilvl w:val="0"/>
          <w:numId w:val="0"/>
        </w:numPr>
        <w:ind w:left="450"/>
        <w:jc w:val="both"/>
        <w:rPr>
          <w:rFonts w:ascii="Verdana" w:hAnsi="Verdana"/>
          <w:b w:val="0"/>
          <w:bCs w:val="0"/>
          <w:sz w:val="20"/>
          <w:szCs w:val="20"/>
        </w:rPr>
      </w:pPr>
      <w:r>
        <w:rPr>
          <w:rFonts w:ascii="Verdana" w:hAnsi="Verdana"/>
          <w:b w:val="0"/>
          <w:bCs w:val="0"/>
          <w:sz w:val="20"/>
          <w:szCs w:val="20"/>
        </w:rPr>
        <w:t xml:space="preserve">Semnătura: </w:t>
      </w:r>
    </w:p>
    <w:p>
      <w:pPr>
        <w:pStyle w:val="Heading1"/>
        <w:numPr>
          <w:ilvl w:val="0"/>
          <w:numId w:val="0"/>
        </w:numPr>
        <w:ind w:left="450"/>
        <w:jc w:val="both"/>
        <w:rPr>
          <w:rFonts w:ascii="Verdana" w:hAnsi="Verdana"/>
          <w:b w:val="0"/>
          <w:bCs w:val="0"/>
          <w:sz w:val="20"/>
          <w:szCs w:val="20"/>
        </w:rPr>
      </w:pPr>
      <w:r>
        <w:rPr>
          <w:rFonts w:ascii="Verdana" w:hAnsi="Verdana"/>
          <w:b w:val="0"/>
          <w:bCs w:val="0"/>
          <w:sz w:val="20"/>
          <w:szCs w:val="20"/>
        </w:rPr>
        <w:t>Data:</w:t>
      </w:r>
    </w:p>
    <w:sectPr>
      <w:headerReference w:type="default" r:id="rId9"/>
      <w:footerReference w:type="default" r:id="rId10"/>
      <w:headerReference w:type="first" r:id="rId11"/>
      <w:footerReference w:type="first" r:id="rId12"/>
      <w:pgSz w:w="11907" w:h="16840" w:code="9"/>
      <w:pgMar w:top="993" w:right="1134" w:bottom="1134" w:left="1701" w:header="851" w:footer="0" w:gutter="0"/>
      <w:pgNumType w:start="25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inotype">
    <w:altName w:val="Arial"/>
    <w:charset w:val="00"/>
    <w:family w:val="swiss"/>
    <w:pitch w:val="variable"/>
    <w:sig w:usb0="00000001" w:usb1="00000000" w:usb2="00000000" w:usb3="00000000" w:csb0="0000009B" w:csb1="00000000"/>
  </w:font>
  <w:font w:name="MS Mincho">
    <w:altName w:val="Yu Gothic UI"/>
    <w:panose1 w:val="020206090402050803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Trebuchet MS Bold">
    <w:panose1 w:val="020B0703020202020204"/>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Text3"/>
      <w:numPr>
        <w:ilvl w:val="0"/>
        <w:numId w:val="0"/>
      </w:num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single" w:sz="4" w:space="0" w:color="auto"/>
      </w:pBdr>
      <w:tabs>
        <w:tab w:val="center" w:pos="4320"/>
        <w:tab w:val="right" w:pos="8640"/>
      </w:tabs>
      <w:spacing w:after="0"/>
      <w:jc w:val="center"/>
      <w:outlineLvl w:val="0"/>
      <w:rPr>
        <w:rFonts w:ascii="Arial" w:hAnsi="Arial"/>
        <w:b/>
        <w:noProof/>
        <w:sz w:val="28"/>
        <w:szCs w:val="28"/>
      </w:rPr>
    </w:pPr>
    <w:r>
      <w:rPr>
        <w:rFonts w:ascii="Arial" w:hAnsi="Arial"/>
        <w:b/>
        <w:noProof/>
        <w:sz w:val="28"/>
        <w:szCs w:val="28"/>
      </w:rPr>
      <w:t>HOTÃRÂREA NR. ________din_______________2026</w:t>
    </w:r>
  </w:p>
  <w:p>
    <w:pPr>
      <w:pBdr>
        <w:bottom w:val="single" w:sz="4" w:space="1" w:color="auto"/>
      </w:pBdr>
      <w:tabs>
        <w:tab w:val="center" w:pos="4320"/>
        <w:tab w:val="right" w:pos="8640"/>
      </w:tabs>
      <w:spacing w:after="0"/>
      <w:jc w:val="center"/>
      <w:rPr>
        <w:rFonts w:ascii="Arial" w:hAnsi="Arial"/>
        <w:b/>
        <w:sz w:val="28"/>
        <w:szCs w:val="28"/>
      </w:rPr>
    </w:pPr>
    <w:r>
      <w:rPr>
        <w:rFonts w:ascii="Arial" w:hAnsi="Arial"/>
        <w:b/>
        <w:noProof/>
        <w:sz w:val="28"/>
        <w:szCs w:val="28"/>
      </w:rPr>
      <w:t xml:space="preserve">Pag. nr. </w:t>
    </w:r>
    <w:r>
      <w:rPr>
        <w:rFonts w:ascii="Arial" w:hAnsi="Arial"/>
        <w:b/>
        <w:sz w:val="28"/>
        <w:szCs w:val="28"/>
      </w:rPr>
      <w:fldChar w:fldCharType="begin"/>
    </w:r>
    <w:r>
      <w:rPr>
        <w:rFonts w:ascii="Arial" w:hAnsi="Arial"/>
        <w:b/>
        <w:sz w:val="28"/>
        <w:szCs w:val="28"/>
      </w:rPr>
      <w:instrText xml:space="preserve"> PAGE </w:instrText>
    </w:r>
    <w:r>
      <w:rPr>
        <w:rFonts w:ascii="Arial" w:hAnsi="Arial"/>
        <w:b/>
        <w:sz w:val="28"/>
        <w:szCs w:val="28"/>
      </w:rPr>
      <w:fldChar w:fldCharType="separate"/>
    </w:r>
    <w:r>
      <w:rPr>
        <w:rFonts w:ascii="Arial" w:hAnsi="Arial"/>
        <w:b/>
        <w:noProof/>
        <w:sz w:val="28"/>
        <w:szCs w:val="28"/>
      </w:rPr>
      <w:t>267</w:t>
    </w:r>
    <w:r>
      <w:rPr>
        <w:rFonts w:ascii="Arial" w:hAnsi="Arial"/>
        <w:b/>
        <w:sz w:val="28"/>
        <w:szCs w:val="28"/>
      </w:rPr>
      <w:fldChar w:fldCharType="end"/>
    </w:r>
  </w:p>
  <w:p>
    <w:pPr>
      <w:pStyle w:val="Header"/>
    </w:pPr>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single" w:sz="4" w:space="0" w:color="auto"/>
      </w:pBdr>
      <w:tabs>
        <w:tab w:val="center" w:pos="4320"/>
        <w:tab w:val="right" w:pos="8640"/>
      </w:tabs>
      <w:spacing w:after="0"/>
      <w:jc w:val="center"/>
      <w:outlineLvl w:val="0"/>
      <w:rPr>
        <w:rFonts w:ascii="Arial" w:hAnsi="Arial"/>
        <w:b/>
        <w:noProof/>
        <w:sz w:val="28"/>
        <w:szCs w:val="28"/>
      </w:rPr>
    </w:pPr>
    <w:r>
      <w:rPr>
        <w:rFonts w:ascii="Arial" w:hAnsi="Arial"/>
        <w:b/>
        <w:noProof/>
        <w:sz w:val="28"/>
        <w:szCs w:val="28"/>
      </w:rPr>
      <w:t>HOTÃRÂREA NR. ________din_______________2026</w:t>
    </w:r>
  </w:p>
  <w:p>
    <w:pPr>
      <w:pBdr>
        <w:bottom w:val="single" w:sz="4" w:space="1" w:color="auto"/>
      </w:pBdr>
      <w:tabs>
        <w:tab w:val="center" w:pos="4320"/>
        <w:tab w:val="right" w:pos="8640"/>
      </w:tabs>
      <w:spacing w:after="0"/>
      <w:jc w:val="center"/>
      <w:rPr>
        <w:rFonts w:ascii="Arial" w:hAnsi="Arial"/>
        <w:b/>
        <w:sz w:val="28"/>
        <w:szCs w:val="28"/>
      </w:rPr>
    </w:pPr>
    <w:r>
      <w:rPr>
        <w:rFonts w:ascii="Arial" w:hAnsi="Arial"/>
        <w:b/>
        <w:noProof/>
        <w:sz w:val="28"/>
        <w:szCs w:val="28"/>
      </w:rPr>
      <w:t xml:space="preserve">Pag. nr. </w:t>
    </w:r>
    <w:r>
      <w:rPr>
        <w:rFonts w:ascii="Arial" w:hAnsi="Arial"/>
        <w:b/>
        <w:sz w:val="28"/>
        <w:szCs w:val="28"/>
      </w:rPr>
      <w:fldChar w:fldCharType="begin"/>
    </w:r>
    <w:r>
      <w:rPr>
        <w:rFonts w:ascii="Arial" w:hAnsi="Arial"/>
        <w:b/>
        <w:sz w:val="28"/>
        <w:szCs w:val="28"/>
      </w:rPr>
      <w:instrText xml:space="preserve"> PAGE </w:instrText>
    </w:r>
    <w:r>
      <w:rPr>
        <w:rFonts w:ascii="Arial" w:hAnsi="Arial"/>
        <w:b/>
        <w:sz w:val="28"/>
        <w:szCs w:val="28"/>
      </w:rPr>
      <w:fldChar w:fldCharType="separate"/>
    </w:r>
    <w:r>
      <w:rPr>
        <w:rFonts w:ascii="Arial" w:hAnsi="Arial"/>
        <w:b/>
        <w:noProof/>
        <w:sz w:val="28"/>
        <w:szCs w:val="28"/>
      </w:rPr>
      <w:t>252</w:t>
    </w:r>
    <w:r>
      <w:rPr>
        <w:rFonts w:ascii="Arial" w:hAnsi="Arial"/>
        <w:b/>
        <w:sz w:val="28"/>
        <w:szCs w:val="28"/>
      </w:rPr>
      <w:fldChar w:fldCharType="end"/>
    </w:r>
  </w:p>
  <w:p>
    <w:pPr>
      <w:pStyle w:val="Header"/>
    </w:pP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656E0"/>
    <w:multiLevelType w:val="multilevel"/>
    <w:tmpl w:val="F4201E96"/>
    <w:lvl w:ilvl="0">
      <w:start w:val="1"/>
      <w:numFmt w:val="decimal"/>
      <w:pStyle w:val="TextNumbered"/>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3.%4)"/>
      <w:lvlJc w:val="left"/>
      <w:pPr>
        <w:tabs>
          <w:tab w:val="num" w:pos="2268"/>
        </w:tabs>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 w15:restartNumberingAfterBreak="0">
    <w:nsid w:val="2A3459B0"/>
    <w:multiLevelType w:val="hybridMultilevel"/>
    <w:tmpl w:val="F7A40846"/>
    <w:lvl w:ilvl="0" w:tplc="0442A430">
      <w:start w:val="1"/>
      <w:numFmt w:val="lowerLetter"/>
      <w:pStyle w:val="List1"/>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15:restartNumberingAfterBreak="0">
    <w:nsid w:val="2CC41F29"/>
    <w:multiLevelType w:val="multilevel"/>
    <w:tmpl w:val="CCD0E21A"/>
    <w:lvl w:ilvl="0">
      <w:start w:val="1"/>
      <w:numFmt w:val="decimal"/>
      <w:pStyle w:val="Heading1"/>
      <w:lvlText w:val="%1."/>
      <w:lvlJc w:val="left"/>
      <w:pPr>
        <w:tabs>
          <w:tab w:val="num" w:pos="851"/>
        </w:tabs>
        <w:ind w:left="851" w:hanging="851"/>
      </w:pPr>
      <w:rPr>
        <w:rFonts w:hint="default"/>
        <w:b/>
        <w:bCs/>
        <w:i w:val="0"/>
        <w:caps w:val="0"/>
        <w:strike w:val="0"/>
        <w:dstrike w:val="0"/>
        <w:vanish w:val="0"/>
        <w:color w:val="auto"/>
        <w:spacing w:val="0"/>
        <w:w w:val="100"/>
        <w:kern w:val="0"/>
        <w:position w:val="0"/>
        <w:sz w:val="20"/>
        <w:szCs w:val="20"/>
        <w:u w:val="none"/>
        <w:effect w:val="none"/>
        <w:vertAlign w:val="baseline"/>
      </w:rPr>
    </w:lvl>
    <w:lvl w:ilvl="1">
      <w:start w:val="1"/>
      <w:numFmt w:val="decimal"/>
      <w:pStyle w:val="Heading2"/>
      <w:lvlText w:val="%1.%2."/>
      <w:lvlJc w:val="left"/>
      <w:pPr>
        <w:tabs>
          <w:tab w:val="num" w:pos="851"/>
        </w:tabs>
        <w:ind w:left="851" w:hanging="851"/>
      </w:pPr>
      <w:rPr>
        <w:rFonts w:hint="default"/>
        <w:b w:val="0"/>
        <w:i w:val="0"/>
        <w:caps w:val="0"/>
        <w:strike w:val="0"/>
        <w:dstrike w:val="0"/>
        <w:vanish w:val="0"/>
        <w:color w:val="auto"/>
        <w:spacing w:val="0"/>
        <w:w w:val="100"/>
        <w:kern w:val="0"/>
        <w:position w:val="0"/>
        <w:sz w:val="20"/>
        <w:szCs w:val="24"/>
        <w:u w:val="none"/>
        <w:effect w:val="none"/>
        <w:vertAlign w:val="baseline"/>
      </w:rPr>
    </w:lvl>
    <w:lvl w:ilvl="2">
      <w:start w:val="1"/>
      <w:numFmt w:val="decimal"/>
      <w:pStyle w:val="Heading3"/>
      <w:lvlText w:val="%1.%2.%3."/>
      <w:lvlJc w:val="left"/>
      <w:pPr>
        <w:tabs>
          <w:tab w:val="num" w:pos="851"/>
        </w:tabs>
        <w:ind w:left="851" w:hanging="851"/>
      </w:pPr>
      <w:rPr>
        <w:rFonts w:hint="default"/>
        <w:b w:val="0"/>
        <w:i w:val="0"/>
        <w:caps w:val="0"/>
        <w:strike w:val="0"/>
        <w:dstrike w:val="0"/>
        <w:vanish w:val="0"/>
        <w:color w:val="auto"/>
        <w:spacing w:val="0"/>
        <w:w w:val="100"/>
        <w:kern w:val="0"/>
        <w:position w:val="0"/>
        <w:sz w:val="20"/>
        <w:szCs w:val="22"/>
        <w:u w:val="none"/>
        <w:effect w:val="none"/>
        <w:vertAlign w:val="baseline"/>
      </w:rPr>
    </w:lvl>
    <w:lvl w:ilvl="3">
      <w:start w:val="1"/>
      <w:numFmt w:val="lowerLetter"/>
      <w:pStyle w:val="Heading4"/>
      <w:lvlText w:val="%4)"/>
      <w:lvlJc w:val="left"/>
      <w:pPr>
        <w:tabs>
          <w:tab w:val="num" w:pos="1701"/>
        </w:tabs>
        <w:ind w:left="1701" w:hanging="850"/>
      </w:pPr>
      <w:rPr>
        <w:rFont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lowerRoman"/>
      <w:pStyle w:val="Heading5"/>
      <w:lvlText w:val="(%5)"/>
      <w:lvlJc w:val="left"/>
      <w:pPr>
        <w:tabs>
          <w:tab w:val="num" w:pos="2552"/>
        </w:tabs>
        <w:ind w:left="2552" w:hanging="851"/>
      </w:pPr>
      <w:rPr>
        <w:rFonts w:hint="default"/>
        <w:b w:val="0"/>
        <w:i w:val="0"/>
        <w:caps w:val="0"/>
        <w:strike w:val="0"/>
        <w:dstrike w:val="0"/>
        <w:vanish w:val="0"/>
        <w:color w:val="auto"/>
        <w:spacing w:val="0"/>
        <w:w w:val="100"/>
        <w:kern w:val="0"/>
        <w:position w:val="0"/>
        <w:sz w:val="20"/>
        <w:szCs w:val="22"/>
        <w:u w:val="none"/>
        <w:effect w:val="none"/>
        <w:vertAlign w:val="baseline"/>
      </w:rPr>
    </w:lvl>
    <w:lvl w:ilvl="5">
      <w:start w:val="1"/>
      <w:numFmt w:val="decimal"/>
      <w:pStyle w:val="Heading6"/>
      <w:lvlText w:val="%5.%6)"/>
      <w:lvlJc w:val="left"/>
      <w:pPr>
        <w:tabs>
          <w:tab w:val="num" w:pos="3402"/>
        </w:tabs>
        <w:ind w:left="3402" w:hanging="850"/>
      </w:pPr>
      <w:rPr>
        <w:rFonts w:hint="default"/>
        <w:b w:val="0"/>
        <w:i w:val="0"/>
        <w:caps w:val="0"/>
        <w:strike w:val="0"/>
        <w:dstrike w:val="0"/>
        <w:vanish w:val="0"/>
        <w:color w:val="auto"/>
        <w:spacing w:val="0"/>
        <w:w w:val="100"/>
        <w:kern w:val="0"/>
        <w:position w:val="0"/>
        <w:sz w:val="20"/>
        <w:szCs w:val="22"/>
        <w:u w:val="none"/>
        <w:effect w:val="none"/>
        <w:vertAlign w:val="baseline"/>
      </w:rPr>
    </w:lvl>
    <w:lvl w:ilvl="6">
      <w:start w:val="1"/>
      <w:numFmt w:val="bullet"/>
      <w:pStyle w:val="Heading7"/>
      <w:lvlText w:val=""/>
      <w:lvlJc w:val="left"/>
      <w:pPr>
        <w:tabs>
          <w:tab w:val="num" w:pos="4253"/>
        </w:tabs>
        <w:ind w:left="4253" w:hanging="851"/>
      </w:pPr>
      <w:rPr>
        <w:rFonts w:ascii="Symbol" w:hAnsi="Symbol" w:hint="default"/>
        <w:b w:val="0"/>
        <w:i w:val="0"/>
        <w:caps w:val="0"/>
        <w:strike w:val="0"/>
        <w:dstrike w:val="0"/>
        <w:vanish w:val="0"/>
        <w:color w:val="auto"/>
        <w:spacing w:val="0"/>
        <w:w w:val="100"/>
        <w:kern w:val="0"/>
        <w:position w:val="0"/>
        <w:sz w:val="20"/>
        <w:szCs w:val="22"/>
        <w:u w:val="none"/>
        <w:effect w:val="none"/>
        <w:vertAlign w:val="baseline"/>
      </w:rPr>
    </w:lvl>
    <w:lvl w:ilvl="7">
      <w:start w:val="1"/>
      <w:numFmt w:val="none"/>
      <w:pStyle w:val="Heading8"/>
      <w:suff w:val="nothing"/>
      <w:lvlText w:val=""/>
      <w:lvlJc w:val="left"/>
      <w:pPr>
        <w:ind w:left="567" w:hanging="567"/>
      </w:pPr>
      <w:rPr>
        <w:rFonts w:hint="default"/>
      </w:rPr>
    </w:lvl>
    <w:lvl w:ilvl="8">
      <w:start w:val="1"/>
      <w:numFmt w:val="none"/>
      <w:pStyle w:val="Heading9"/>
      <w:suff w:val="nothing"/>
      <w:lvlText w:val=""/>
      <w:lvlJc w:val="left"/>
      <w:pPr>
        <w:ind w:left="567" w:hanging="567"/>
      </w:pPr>
      <w:rPr>
        <w:rFonts w:hint="default"/>
      </w:rPr>
    </w:lvl>
  </w:abstractNum>
  <w:abstractNum w:abstractNumId="3" w15:restartNumberingAfterBreak="0">
    <w:nsid w:val="2DA726D7"/>
    <w:multiLevelType w:val="multilevel"/>
    <w:tmpl w:val="967CBDE6"/>
    <w:lvl w:ilvl="0">
      <w:start w:val="1"/>
      <w:numFmt w:val="upperLetter"/>
      <w:pStyle w:val="Recitals"/>
      <w:lvlText w:val="(%1)"/>
      <w:lvlJc w:val="left"/>
      <w:pPr>
        <w:tabs>
          <w:tab w:val="num" w:pos="851"/>
        </w:tabs>
        <w:ind w:left="851" w:hanging="851"/>
      </w:pPr>
      <w:rPr>
        <w:rFonts w:hint="default"/>
        <w:b/>
        <w:i w:val="0"/>
        <w:sz w:val="20"/>
        <w:szCs w:val="20"/>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4" w15:restartNumberingAfterBreak="0">
    <w:nsid w:val="339F29F6"/>
    <w:multiLevelType w:val="hybridMultilevel"/>
    <w:tmpl w:val="58E0EFA8"/>
    <w:lvl w:ilvl="0" w:tplc="B2A03652">
      <w:start w:val="8"/>
      <w:numFmt w:val="lowerRoman"/>
      <w:lvlText w:val="%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354130E4"/>
    <w:multiLevelType w:val="hybridMultilevel"/>
    <w:tmpl w:val="A704E52C"/>
    <w:lvl w:ilvl="0" w:tplc="407AF016">
      <w:start w:val="1"/>
      <w:numFmt w:val="bullet"/>
      <w:lvlText w:val=""/>
      <w:lvlJc w:val="left"/>
      <w:pPr>
        <w:ind w:left="1530" w:hanging="360"/>
      </w:pPr>
      <w:rPr>
        <w:rFonts w:ascii="Symbol" w:hAnsi="Symbol" w:hint="default"/>
      </w:rPr>
    </w:lvl>
    <w:lvl w:ilvl="1" w:tplc="407AF016">
      <w:start w:val="1"/>
      <w:numFmt w:val="bullet"/>
      <w:lvlText w:val=""/>
      <w:lvlJc w:val="left"/>
      <w:pPr>
        <w:ind w:left="1440" w:hanging="360"/>
      </w:pPr>
      <w:rPr>
        <w:rFonts w:ascii="Symbol" w:hAnsi="Symbol" w:hint="default"/>
      </w:rPr>
    </w:lvl>
    <w:lvl w:ilvl="2" w:tplc="56E27700">
      <w:start w:val="1"/>
      <w:numFmt w:val="bullet"/>
      <w:lvlText w:val="-"/>
      <w:lvlJc w:val="left"/>
      <w:pPr>
        <w:ind w:left="2160" w:hanging="360"/>
      </w:pPr>
      <w:rPr>
        <w:rFonts w:ascii="Trebuchet MS" w:eastAsia="Cambria" w:hAnsi="Trebuchet MS"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F1339B"/>
    <w:multiLevelType w:val="multilevel"/>
    <w:tmpl w:val="920C5484"/>
    <w:lvl w:ilvl="0">
      <w:start w:val="1"/>
      <w:numFmt w:val="upperLetter"/>
      <w:lvlText w:val="(%1)"/>
      <w:lvlJc w:val="left"/>
      <w:pPr>
        <w:tabs>
          <w:tab w:val="num" w:pos="567"/>
        </w:tabs>
        <w:ind w:left="567" w:hanging="567"/>
      </w:pPr>
      <w:rPr>
        <w:rFonts w:hint="default"/>
        <w:b/>
        <w:i w:val="0"/>
        <w:sz w:val="20"/>
        <w:szCs w:val="20"/>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460F60B8"/>
    <w:multiLevelType w:val="hybridMultilevel"/>
    <w:tmpl w:val="A1E694C6"/>
    <w:lvl w:ilvl="0" w:tplc="05A258EA">
      <w:start w:val="4"/>
      <w:numFmt w:val="bullet"/>
      <w:pStyle w:val="Liniuta"/>
      <w:lvlText w:val="-"/>
      <w:lvlJc w:val="left"/>
      <w:pPr>
        <w:tabs>
          <w:tab w:val="num" w:pos="567"/>
        </w:tabs>
        <w:ind w:left="567" w:hanging="567"/>
      </w:pPr>
      <w:rPr>
        <w:rFonts w:ascii="Frutiger Linotype" w:eastAsia="Times New Roman" w:hAnsi="Frutiger Linotype" w:cs="Times New Roman" w:hint="default"/>
        <w:b w:val="0"/>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707FC6"/>
    <w:multiLevelType w:val="hybridMultilevel"/>
    <w:tmpl w:val="5254DC56"/>
    <w:lvl w:ilvl="0" w:tplc="6870EC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4927D7"/>
    <w:multiLevelType w:val="hybridMultilevel"/>
    <w:tmpl w:val="423075C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5A2C0B60"/>
    <w:multiLevelType w:val="hybridMultilevel"/>
    <w:tmpl w:val="CB760634"/>
    <w:lvl w:ilvl="0" w:tplc="04180001">
      <w:start w:val="1"/>
      <w:numFmt w:val="bullet"/>
      <w:lvlText w:val=""/>
      <w:lvlJc w:val="left"/>
      <w:pPr>
        <w:ind w:left="770" w:hanging="360"/>
      </w:pPr>
      <w:rPr>
        <w:rFonts w:ascii="Symbol" w:hAnsi="Symbol" w:hint="default"/>
      </w:rPr>
    </w:lvl>
    <w:lvl w:ilvl="1" w:tplc="04180003" w:tentative="1">
      <w:start w:val="1"/>
      <w:numFmt w:val="bullet"/>
      <w:lvlText w:val="o"/>
      <w:lvlJc w:val="left"/>
      <w:pPr>
        <w:ind w:left="1490" w:hanging="360"/>
      </w:pPr>
      <w:rPr>
        <w:rFonts w:ascii="Courier New" w:hAnsi="Courier New" w:cs="Courier New" w:hint="default"/>
      </w:rPr>
    </w:lvl>
    <w:lvl w:ilvl="2" w:tplc="04180005" w:tentative="1">
      <w:start w:val="1"/>
      <w:numFmt w:val="bullet"/>
      <w:lvlText w:val=""/>
      <w:lvlJc w:val="left"/>
      <w:pPr>
        <w:ind w:left="2210" w:hanging="360"/>
      </w:pPr>
      <w:rPr>
        <w:rFonts w:ascii="Wingdings" w:hAnsi="Wingdings" w:hint="default"/>
      </w:rPr>
    </w:lvl>
    <w:lvl w:ilvl="3" w:tplc="04180001" w:tentative="1">
      <w:start w:val="1"/>
      <w:numFmt w:val="bullet"/>
      <w:lvlText w:val=""/>
      <w:lvlJc w:val="left"/>
      <w:pPr>
        <w:ind w:left="2930" w:hanging="360"/>
      </w:pPr>
      <w:rPr>
        <w:rFonts w:ascii="Symbol" w:hAnsi="Symbol" w:hint="default"/>
      </w:rPr>
    </w:lvl>
    <w:lvl w:ilvl="4" w:tplc="04180003" w:tentative="1">
      <w:start w:val="1"/>
      <w:numFmt w:val="bullet"/>
      <w:lvlText w:val="o"/>
      <w:lvlJc w:val="left"/>
      <w:pPr>
        <w:ind w:left="3650" w:hanging="360"/>
      </w:pPr>
      <w:rPr>
        <w:rFonts w:ascii="Courier New" w:hAnsi="Courier New" w:cs="Courier New" w:hint="default"/>
      </w:rPr>
    </w:lvl>
    <w:lvl w:ilvl="5" w:tplc="04180005" w:tentative="1">
      <w:start w:val="1"/>
      <w:numFmt w:val="bullet"/>
      <w:lvlText w:val=""/>
      <w:lvlJc w:val="left"/>
      <w:pPr>
        <w:ind w:left="4370" w:hanging="360"/>
      </w:pPr>
      <w:rPr>
        <w:rFonts w:ascii="Wingdings" w:hAnsi="Wingdings" w:hint="default"/>
      </w:rPr>
    </w:lvl>
    <w:lvl w:ilvl="6" w:tplc="04180001" w:tentative="1">
      <w:start w:val="1"/>
      <w:numFmt w:val="bullet"/>
      <w:lvlText w:val=""/>
      <w:lvlJc w:val="left"/>
      <w:pPr>
        <w:ind w:left="5090" w:hanging="360"/>
      </w:pPr>
      <w:rPr>
        <w:rFonts w:ascii="Symbol" w:hAnsi="Symbol" w:hint="default"/>
      </w:rPr>
    </w:lvl>
    <w:lvl w:ilvl="7" w:tplc="04180003" w:tentative="1">
      <w:start w:val="1"/>
      <w:numFmt w:val="bullet"/>
      <w:lvlText w:val="o"/>
      <w:lvlJc w:val="left"/>
      <w:pPr>
        <w:ind w:left="5810" w:hanging="360"/>
      </w:pPr>
      <w:rPr>
        <w:rFonts w:ascii="Courier New" w:hAnsi="Courier New" w:cs="Courier New" w:hint="default"/>
      </w:rPr>
    </w:lvl>
    <w:lvl w:ilvl="8" w:tplc="04180005" w:tentative="1">
      <w:start w:val="1"/>
      <w:numFmt w:val="bullet"/>
      <w:lvlText w:val=""/>
      <w:lvlJc w:val="left"/>
      <w:pPr>
        <w:ind w:left="6530" w:hanging="360"/>
      </w:pPr>
      <w:rPr>
        <w:rFonts w:ascii="Wingdings" w:hAnsi="Wingdings" w:hint="default"/>
      </w:rPr>
    </w:lvl>
  </w:abstractNum>
  <w:abstractNum w:abstractNumId="11" w15:restartNumberingAfterBreak="0">
    <w:nsid w:val="5B1F0DAF"/>
    <w:multiLevelType w:val="hybridMultilevel"/>
    <w:tmpl w:val="605E4FFC"/>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F511C3"/>
    <w:multiLevelType w:val="multilevel"/>
    <w:tmpl w:val="8E7EF554"/>
    <w:lvl w:ilvl="0">
      <w:start w:val="1"/>
      <w:numFmt w:val="decimal"/>
      <w:pStyle w:val="AnnexTitle"/>
      <w:lvlText w:val="Annex %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230783"/>
    <w:multiLevelType w:val="multilevel"/>
    <w:tmpl w:val="924E5ED0"/>
    <w:lvl w:ilvl="0">
      <w:start w:val="1"/>
      <w:numFmt w:val="decimal"/>
      <w:pStyle w:val="Text"/>
      <w:lvlText w:val="%1."/>
      <w:lvlJc w:val="left"/>
      <w:pPr>
        <w:tabs>
          <w:tab w:val="num" w:pos="567"/>
        </w:tabs>
        <w:ind w:left="567" w:hanging="567"/>
      </w:pPr>
      <w:rPr>
        <w:rFonts w:ascii="Frutiger Linotype" w:hAnsi="Frutiger Linotype" w:hint="default"/>
        <w:b w:val="0"/>
        <w:i w:val="0"/>
        <w:sz w:val="20"/>
        <w:szCs w:val="20"/>
      </w:rPr>
    </w:lvl>
    <w:lvl w:ilvl="1">
      <w:start w:val="1"/>
      <w:numFmt w:val="lowerLetter"/>
      <w:pStyle w:val="Text1"/>
      <w:lvlText w:val="%2)"/>
      <w:lvlJc w:val="left"/>
      <w:pPr>
        <w:tabs>
          <w:tab w:val="num" w:pos="1134"/>
        </w:tabs>
        <w:ind w:left="1134" w:hanging="567"/>
      </w:pPr>
      <w:rPr>
        <w:rFonts w:ascii="Frutiger Linotype" w:hAnsi="Frutiger Linotype" w:hint="default"/>
        <w:b w:val="0"/>
        <w:i w:val="0"/>
        <w:sz w:val="20"/>
      </w:rPr>
    </w:lvl>
    <w:lvl w:ilvl="2">
      <w:start w:val="1"/>
      <w:numFmt w:val="lowerRoman"/>
      <w:pStyle w:val="List"/>
      <w:lvlText w:val="(%3)"/>
      <w:lvlJc w:val="left"/>
      <w:pPr>
        <w:tabs>
          <w:tab w:val="num" w:pos="1701"/>
        </w:tabs>
        <w:ind w:left="1701" w:hanging="567"/>
      </w:pPr>
      <w:rPr>
        <w:rFonts w:ascii="Frutiger Linotype" w:hAnsi="Frutiger Linotype" w:hint="default"/>
        <w:b w:val="0"/>
        <w:i w:val="0"/>
        <w:sz w:val="20"/>
      </w:rPr>
    </w:lvl>
    <w:lvl w:ilvl="3">
      <w:start w:val="1"/>
      <w:numFmt w:val="decimal"/>
      <w:pStyle w:val="Text3"/>
      <w:lvlText w:val="%3.%4)"/>
      <w:lvlJc w:val="left"/>
      <w:pPr>
        <w:tabs>
          <w:tab w:val="num" w:pos="2268"/>
        </w:tabs>
        <w:ind w:left="2268" w:hanging="567"/>
      </w:pPr>
      <w:rPr>
        <w:rFonts w:ascii="Frutiger Linotype" w:hAnsi="Frutiger Linotype" w:hint="default"/>
        <w:b w:val="0"/>
        <w:i w:val="0"/>
        <w:sz w:val="20"/>
      </w:rPr>
    </w:lvl>
    <w:lvl w:ilvl="4">
      <w:start w:val="1"/>
      <w:numFmt w:val="bullet"/>
      <w:pStyle w:val="Text4"/>
      <w:lvlText w:val=""/>
      <w:lvlJc w:val="left"/>
      <w:pPr>
        <w:tabs>
          <w:tab w:val="num" w:pos="2835"/>
        </w:tabs>
        <w:ind w:left="2835" w:hanging="567"/>
      </w:pPr>
      <w:rPr>
        <w:rFonts w:ascii="Symbol" w:hAnsi="Symbol" w:hint="default"/>
        <w:b w:val="0"/>
        <w:i w:val="0"/>
        <w:sz w:val="20"/>
      </w:rPr>
    </w:lvl>
    <w:lvl w:ilvl="5">
      <w:start w:val="1"/>
      <w:numFmt w:val="bullet"/>
      <w:lvlText w:val="o"/>
      <w:lvlJc w:val="left"/>
      <w:pPr>
        <w:tabs>
          <w:tab w:val="num" w:pos="3402"/>
        </w:tabs>
        <w:ind w:left="3402" w:hanging="567"/>
      </w:pPr>
      <w:rPr>
        <w:rFonts w:ascii="Courier New" w:hAnsi="Courier New" w:hint="default"/>
        <w:b w:val="0"/>
        <w:i w:val="0"/>
        <w:sz w:val="20"/>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o"/>
      <w:lvlJc w:val="left"/>
      <w:pPr>
        <w:tabs>
          <w:tab w:val="num" w:pos="5103"/>
        </w:tabs>
        <w:ind w:left="5103" w:hanging="567"/>
      </w:pPr>
      <w:rPr>
        <w:rFonts w:ascii="Courier New" w:hAnsi="Courier New" w:hint="default"/>
      </w:rPr>
    </w:lvl>
  </w:abstractNum>
  <w:abstractNum w:abstractNumId="14" w15:restartNumberingAfterBreak="0">
    <w:nsid w:val="69A81ACF"/>
    <w:multiLevelType w:val="multilevel"/>
    <w:tmpl w:val="E8EC3A0A"/>
    <w:lvl w:ilvl="0">
      <w:start w:val="1"/>
      <w:numFmt w:val="decimal"/>
      <w:pStyle w:val="Annexlevel1"/>
      <w:lvlText w:val="%1."/>
      <w:lvlJc w:val="left"/>
      <w:pPr>
        <w:tabs>
          <w:tab w:val="num" w:pos="567"/>
        </w:tabs>
        <w:ind w:left="567" w:hanging="567"/>
      </w:pPr>
      <w:rPr>
        <w:rFonts w:hint="default"/>
      </w:rPr>
    </w:lvl>
    <w:lvl w:ilvl="1">
      <w:start w:val="1"/>
      <w:numFmt w:val="decimal"/>
      <w:pStyle w:val="Annexlevel2"/>
      <w:lvlText w:val="%1.%2."/>
      <w:lvlJc w:val="left"/>
      <w:pPr>
        <w:tabs>
          <w:tab w:val="num" w:pos="567"/>
        </w:tabs>
        <w:ind w:left="567" w:hanging="567"/>
      </w:pPr>
      <w:rPr>
        <w:rFonts w:ascii="Trebuchet MS" w:hAnsi="Trebuchet MS" w:hint="default"/>
        <w:b w:val="0"/>
        <w:i w:val="0"/>
        <w:caps w:val="0"/>
        <w:strike w:val="0"/>
        <w:dstrike w:val="0"/>
        <w:vanish w:val="0"/>
        <w:color w:val="auto"/>
        <w:sz w:val="20"/>
        <w:vertAlign w:val="baseline"/>
      </w:rPr>
    </w:lvl>
    <w:lvl w:ilvl="2">
      <w:start w:val="1"/>
      <w:numFmt w:val="lowerLetter"/>
      <w:pStyle w:val="Annexlevel3"/>
      <w:lvlText w:val="(%3)"/>
      <w:lvlJc w:val="left"/>
      <w:pPr>
        <w:tabs>
          <w:tab w:val="num" w:pos="1134"/>
        </w:tabs>
        <w:ind w:left="1134" w:hanging="567"/>
      </w:pPr>
      <w:rPr>
        <w:rFonts w:ascii="Trebuchet MS" w:hAnsi="Trebuchet MS" w:hint="default"/>
        <w:b w:val="0"/>
        <w:i w:val="0"/>
        <w:sz w:val="20"/>
      </w:rPr>
    </w:lvl>
    <w:lvl w:ilvl="3">
      <w:start w:val="1"/>
      <w:numFmt w:val="lowerRoman"/>
      <w:pStyle w:val="Annexlevel1"/>
      <w:lvlText w:val="(%4)"/>
      <w:lvlJc w:val="left"/>
      <w:pPr>
        <w:tabs>
          <w:tab w:val="num" w:pos="1701"/>
        </w:tabs>
        <w:ind w:left="1701"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89369E0"/>
    <w:multiLevelType w:val="multilevel"/>
    <w:tmpl w:val="8C786A24"/>
    <w:lvl w:ilvl="0">
      <w:start w:val="1"/>
      <w:numFmt w:val="decimal"/>
      <w:pStyle w:val="Parties"/>
      <w:lvlText w:val="%1."/>
      <w:lvlJc w:val="left"/>
      <w:pPr>
        <w:tabs>
          <w:tab w:val="num" w:pos="851"/>
        </w:tabs>
        <w:ind w:left="851" w:hanging="851"/>
      </w:pPr>
      <w:rPr>
        <w:rFonts w:hint="default"/>
        <w:b/>
        <w:i w:val="0"/>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6" w15:restartNumberingAfterBreak="0">
    <w:nsid w:val="7A322368"/>
    <w:multiLevelType w:val="hybridMultilevel"/>
    <w:tmpl w:val="05B06D3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7EE97491"/>
    <w:multiLevelType w:val="hybridMultilevel"/>
    <w:tmpl w:val="589E3B44"/>
    <w:lvl w:ilvl="0" w:tplc="D550DC6C">
      <w:start w:val="1"/>
      <w:numFmt w:val="lowerRoman"/>
      <w:lvlText w:val="%1."/>
      <w:lvlJc w:val="righ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582BE0"/>
    <w:multiLevelType w:val="hybridMultilevel"/>
    <w:tmpl w:val="54442B8E"/>
    <w:lvl w:ilvl="0" w:tplc="73B208EA">
      <w:start w:val="4"/>
      <w:numFmt w:val="bullet"/>
      <w:pStyle w:val="Bulleted"/>
      <w:lvlText w:val=""/>
      <w:lvlJc w:val="left"/>
      <w:pPr>
        <w:tabs>
          <w:tab w:val="num" w:pos="567"/>
        </w:tabs>
        <w:ind w:left="567" w:hanging="567"/>
      </w:pPr>
      <w:rPr>
        <w:rFonts w:ascii="Symbol" w:eastAsia="Times New Roman" w:hAnsi="Symbol" w:cs="Times New Roman" w:hint="default"/>
        <w:b w:val="0"/>
        <w:u w:val="none"/>
      </w:rPr>
    </w:lvl>
    <w:lvl w:ilvl="1" w:tplc="6D4A117E">
      <w:start w:val="1"/>
      <w:numFmt w:val="bullet"/>
      <w:lvlText w:val="o"/>
      <w:lvlJc w:val="left"/>
      <w:pPr>
        <w:tabs>
          <w:tab w:val="num" w:pos="1440"/>
        </w:tabs>
        <w:ind w:left="1440" w:hanging="360"/>
      </w:pPr>
      <w:rPr>
        <w:rFonts w:ascii="Courier New" w:hAnsi="Courier New" w:cs="Courier New" w:hint="default"/>
      </w:rPr>
    </w:lvl>
    <w:lvl w:ilvl="2" w:tplc="5CD60102" w:tentative="1">
      <w:start w:val="1"/>
      <w:numFmt w:val="bullet"/>
      <w:lvlText w:val=""/>
      <w:lvlJc w:val="left"/>
      <w:pPr>
        <w:tabs>
          <w:tab w:val="num" w:pos="2160"/>
        </w:tabs>
        <w:ind w:left="2160" w:hanging="360"/>
      </w:pPr>
      <w:rPr>
        <w:rFonts w:ascii="Wingdings" w:hAnsi="Wingdings" w:hint="default"/>
      </w:rPr>
    </w:lvl>
    <w:lvl w:ilvl="3" w:tplc="22E86394" w:tentative="1">
      <w:start w:val="1"/>
      <w:numFmt w:val="bullet"/>
      <w:lvlText w:val=""/>
      <w:lvlJc w:val="left"/>
      <w:pPr>
        <w:tabs>
          <w:tab w:val="num" w:pos="2880"/>
        </w:tabs>
        <w:ind w:left="2880" w:hanging="360"/>
      </w:pPr>
      <w:rPr>
        <w:rFonts w:ascii="Symbol" w:hAnsi="Symbol" w:hint="default"/>
      </w:rPr>
    </w:lvl>
    <w:lvl w:ilvl="4" w:tplc="BAC6BC18" w:tentative="1">
      <w:start w:val="1"/>
      <w:numFmt w:val="bullet"/>
      <w:lvlText w:val="o"/>
      <w:lvlJc w:val="left"/>
      <w:pPr>
        <w:tabs>
          <w:tab w:val="num" w:pos="3600"/>
        </w:tabs>
        <w:ind w:left="3600" w:hanging="360"/>
      </w:pPr>
      <w:rPr>
        <w:rFonts w:ascii="Courier New" w:hAnsi="Courier New" w:cs="Courier New" w:hint="default"/>
      </w:rPr>
    </w:lvl>
    <w:lvl w:ilvl="5" w:tplc="700639D4" w:tentative="1">
      <w:start w:val="1"/>
      <w:numFmt w:val="bullet"/>
      <w:lvlText w:val=""/>
      <w:lvlJc w:val="left"/>
      <w:pPr>
        <w:tabs>
          <w:tab w:val="num" w:pos="4320"/>
        </w:tabs>
        <w:ind w:left="4320" w:hanging="360"/>
      </w:pPr>
      <w:rPr>
        <w:rFonts w:ascii="Wingdings" w:hAnsi="Wingdings" w:hint="default"/>
      </w:rPr>
    </w:lvl>
    <w:lvl w:ilvl="6" w:tplc="DBBC3C38" w:tentative="1">
      <w:start w:val="1"/>
      <w:numFmt w:val="bullet"/>
      <w:lvlText w:val=""/>
      <w:lvlJc w:val="left"/>
      <w:pPr>
        <w:tabs>
          <w:tab w:val="num" w:pos="5040"/>
        </w:tabs>
        <w:ind w:left="5040" w:hanging="360"/>
      </w:pPr>
      <w:rPr>
        <w:rFonts w:ascii="Symbol" w:hAnsi="Symbol" w:hint="default"/>
      </w:rPr>
    </w:lvl>
    <w:lvl w:ilvl="7" w:tplc="9264774C" w:tentative="1">
      <w:start w:val="1"/>
      <w:numFmt w:val="bullet"/>
      <w:lvlText w:val="o"/>
      <w:lvlJc w:val="left"/>
      <w:pPr>
        <w:tabs>
          <w:tab w:val="num" w:pos="5760"/>
        </w:tabs>
        <w:ind w:left="5760" w:hanging="360"/>
      </w:pPr>
      <w:rPr>
        <w:rFonts w:ascii="Courier New" w:hAnsi="Courier New" w:cs="Courier New" w:hint="default"/>
      </w:rPr>
    </w:lvl>
    <w:lvl w:ilvl="8" w:tplc="2668C22E"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7"/>
  </w:num>
  <w:num w:numId="4">
    <w:abstractNumId w:val="13"/>
  </w:num>
  <w:num w:numId="5">
    <w:abstractNumId w:val="0"/>
  </w:num>
  <w:num w:numId="6">
    <w:abstractNumId w:val="12"/>
  </w:num>
  <w:num w:numId="7">
    <w:abstractNumId w:val="14"/>
  </w:num>
  <w:num w:numId="8">
    <w:abstractNumId w:val="15"/>
  </w:num>
  <w:num w:numId="9">
    <w:abstractNumId w:val="1"/>
  </w:num>
  <w:num w:numId="10">
    <w:abstractNumId w:val="2"/>
  </w:num>
  <w:num w:numId="11">
    <w:abstractNumId w:val="9"/>
  </w:num>
  <w:num w:numId="12">
    <w:abstractNumId w:val="5"/>
  </w:num>
  <w:num w:numId="13">
    <w:abstractNumId w:val="4"/>
  </w:num>
  <w:num w:numId="14">
    <w:abstractNumId w:val="2"/>
  </w:num>
  <w:num w:numId="15">
    <w:abstractNumId w:val="16"/>
  </w:num>
  <w:num w:numId="16">
    <w:abstractNumId w:val="2"/>
  </w:num>
  <w:num w:numId="17">
    <w:abstractNumId w:val="2"/>
  </w:num>
  <w:num w:numId="18">
    <w:abstractNumId w:val="2"/>
  </w:num>
  <w:num w:numId="19">
    <w:abstractNumId w:val="2"/>
  </w:num>
  <w:num w:numId="20">
    <w:abstractNumId w:val="2"/>
  </w:num>
  <w:num w:numId="21">
    <w:abstractNumId w:val="10"/>
  </w:num>
  <w:num w:numId="22">
    <w:abstractNumId w:val="6"/>
  </w:num>
  <w:num w:numId="23">
    <w:abstractNumId w:val="11"/>
  </w:num>
  <w:num w:numId="24">
    <w:abstractNumId w:val="8"/>
  </w:num>
  <w:num w:numId="25">
    <w:abstractNumId w:val="17"/>
  </w:num>
  <w:num w:numId="26">
    <w:abstractNumId w:val="2"/>
  </w:num>
  <w:num w:numId="27">
    <w:abstractNumId w:val="2"/>
  </w:num>
  <w:num w:numId="28">
    <w:abstractNumId w:val="2"/>
  </w:num>
  <w:num w:numId="29">
    <w:abstractNumId w:val="2"/>
  </w:num>
  <w:num w:numId="30">
    <w:abstractNumId w:val="2"/>
  </w:num>
  <w:num w:numId="3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ttachedTemplate r:id="rId1"/>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stylePaneSortMethod w:val="0000"/>
  <w:documentProtection w:formatting="1" w:enforcement="0"/>
  <w:defaultTabStop w:val="851"/>
  <w:hyphenationZone w:val="425"/>
  <w:clickAndTypeStyle w:val="TableColor"/>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BD755B-D9CB-40EA-80CB-51D409893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imes New Roman" w:hAnsi="Trebuchet MS" w:cs="Times New Roman"/>
        <w:lang w:val="en-US" w:eastAsia="en-US" w:bidi="ar-SA"/>
      </w:rPr>
    </w:rPrDefault>
    <w:pPrDefault>
      <w:pPr>
        <w:spacing w:after="120" w:line="320" w:lineRule="exact"/>
        <w:jc w:val="both"/>
      </w:pPr>
    </w:pPrDefault>
  </w:docDefaults>
  <w:latentStyles w:defLockedState="0" w:defUIPriority="0" w:defSemiHidden="0" w:defUnhideWhenUsed="0" w:defQFormat="0" w:count="37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alutation" w:locked="1" w:semiHidden="1"/>
    <w:lsdException w:name="Body Text First Indent" w:locked="1" w:semiHidden="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locked="1"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locked="1"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semiHidden="1" w:uiPriority="29"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qFormat="1"/>
    <w:lsdException w:name="Intense Emphasis" w:semiHidden="1" w:qFormat="1"/>
    <w:lsdException w:name="Subtle Reference" w:locked="1" w:semiHidden="1" w:uiPriority="31" w:qFormat="1"/>
    <w:lsdException w:name="Intense Reference" w:semiHidden="1" w:qFormat="1"/>
    <w:lsdException w:name="Book Title" w:locked="1" w:semiHidden="1" w:uiPriority="33" w:qFormat="1"/>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lang w:val="ro-RO"/>
    </w:rPr>
  </w:style>
  <w:style w:type="paragraph" w:styleId="Heading1">
    <w:name w:val="heading 1"/>
    <w:basedOn w:val="Normal"/>
    <w:next w:val="Heading2"/>
    <w:link w:val="Heading1Char"/>
    <w:uiPriority w:val="9"/>
    <w:qFormat/>
    <w:pPr>
      <w:keepNext/>
      <w:numPr>
        <w:numId w:val="10"/>
      </w:numPr>
      <w:spacing w:before="360"/>
      <w:jc w:val="left"/>
      <w:outlineLvl w:val="0"/>
    </w:pPr>
    <w:rPr>
      <w:rFonts w:cs="Arial"/>
      <w:b/>
      <w:bCs/>
      <w:kern w:val="32"/>
      <w:sz w:val="24"/>
      <w:szCs w:val="24"/>
      <w:lang w:bidi="ne-NP"/>
    </w:rPr>
  </w:style>
  <w:style w:type="paragraph" w:styleId="Heading2">
    <w:name w:val="heading 2"/>
    <w:basedOn w:val="Normal"/>
    <w:link w:val="Heading2Char"/>
    <w:uiPriority w:val="9"/>
    <w:qFormat/>
    <w:pPr>
      <w:numPr>
        <w:ilvl w:val="1"/>
        <w:numId w:val="10"/>
      </w:numPr>
      <w:outlineLvl w:val="1"/>
    </w:pPr>
    <w:rPr>
      <w:rFonts w:cs="Arial"/>
      <w:bCs/>
      <w:iCs/>
      <w:szCs w:val="24"/>
      <w:lang w:bidi="ne-NP"/>
    </w:rPr>
  </w:style>
  <w:style w:type="paragraph" w:styleId="Heading3">
    <w:name w:val="heading 3"/>
    <w:basedOn w:val="Normal"/>
    <w:link w:val="Heading3Char"/>
    <w:uiPriority w:val="9"/>
    <w:qFormat/>
    <w:pPr>
      <w:numPr>
        <w:ilvl w:val="2"/>
        <w:numId w:val="10"/>
      </w:numPr>
      <w:outlineLvl w:val="2"/>
    </w:pPr>
    <w:rPr>
      <w:rFonts w:cs="Arial"/>
      <w:bCs/>
      <w:lang w:bidi="ne-NP"/>
    </w:rPr>
  </w:style>
  <w:style w:type="paragraph" w:styleId="Heading4">
    <w:name w:val="heading 4"/>
    <w:basedOn w:val="Normal"/>
    <w:link w:val="Heading4Char"/>
    <w:qFormat/>
    <w:pPr>
      <w:numPr>
        <w:ilvl w:val="3"/>
        <w:numId w:val="10"/>
      </w:numPr>
      <w:tabs>
        <w:tab w:val="left" w:pos="1418"/>
      </w:tabs>
      <w:outlineLvl w:val="3"/>
    </w:pPr>
    <w:rPr>
      <w:bCs/>
      <w:lang w:bidi="ne-NP"/>
    </w:rPr>
  </w:style>
  <w:style w:type="paragraph" w:styleId="Heading5">
    <w:name w:val="heading 5"/>
    <w:basedOn w:val="Normal"/>
    <w:qFormat/>
    <w:pPr>
      <w:numPr>
        <w:ilvl w:val="4"/>
        <w:numId w:val="10"/>
      </w:numPr>
      <w:outlineLvl w:val="4"/>
    </w:pPr>
    <w:rPr>
      <w:bCs/>
      <w:iCs/>
    </w:rPr>
  </w:style>
  <w:style w:type="paragraph" w:styleId="Heading6">
    <w:name w:val="heading 6"/>
    <w:basedOn w:val="Normal"/>
    <w:next w:val="Normal"/>
    <w:qFormat/>
    <w:pPr>
      <w:numPr>
        <w:ilvl w:val="5"/>
        <w:numId w:val="10"/>
      </w:numPr>
      <w:contextualSpacing/>
      <w:outlineLvl w:val="5"/>
    </w:pPr>
    <w:rPr>
      <w:bCs/>
    </w:rPr>
  </w:style>
  <w:style w:type="paragraph" w:styleId="Heading7">
    <w:name w:val="heading 7"/>
    <w:basedOn w:val="Normal"/>
    <w:next w:val="Normal"/>
    <w:qFormat/>
    <w:pPr>
      <w:numPr>
        <w:ilvl w:val="6"/>
        <w:numId w:val="10"/>
      </w:numPr>
      <w:contextualSpacing/>
      <w:outlineLvl w:val="6"/>
    </w:pPr>
  </w:style>
  <w:style w:type="paragraph" w:styleId="Heading8">
    <w:name w:val="heading 8"/>
    <w:basedOn w:val="Normal"/>
    <w:next w:val="Normal"/>
    <w:semiHidden/>
    <w:qFormat/>
    <w:pPr>
      <w:numPr>
        <w:ilvl w:val="7"/>
        <w:numId w:val="10"/>
      </w:numPr>
      <w:contextualSpacing/>
      <w:outlineLvl w:val="7"/>
    </w:pPr>
    <w:rPr>
      <w:i/>
      <w:iCs/>
    </w:rPr>
  </w:style>
  <w:style w:type="paragraph" w:styleId="Heading9">
    <w:name w:val="heading 9"/>
    <w:basedOn w:val="Normal"/>
    <w:next w:val="Normal"/>
    <w:semiHidden/>
    <w:qFormat/>
    <w:pPr>
      <w:numPr>
        <w:ilvl w:val="8"/>
        <w:numId w:val="10"/>
      </w:numPr>
      <w:contextualSpacing/>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cs="Arial"/>
      <w:bCs/>
      <w:iCs/>
      <w:szCs w:val="24"/>
      <w:lang w:val="ro-RO" w:bidi="ne-NP"/>
    </w:rPr>
  </w:style>
  <w:style w:type="character" w:customStyle="1" w:styleId="Heading1Char">
    <w:name w:val="Heading 1 Char"/>
    <w:basedOn w:val="DefaultParagraphFont"/>
    <w:link w:val="Heading1"/>
    <w:uiPriority w:val="9"/>
    <w:rPr>
      <w:rFonts w:cs="Arial"/>
      <w:b/>
      <w:bCs/>
      <w:kern w:val="32"/>
      <w:sz w:val="24"/>
      <w:szCs w:val="24"/>
      <w:lang w:val="ro-RO" w:bidi="ne-NP"/>
    </w:rPr>
  </w:style>
  <w:style w:type="character" w:customStyle="1" w:styleId="Heading3Char">
    <w:name w:val="Heading 3 Char"/>
    <w:basedOn w:val="DefaultParagraphFont"/>
    <w:link w:val="Heading3"/>
    <w:uiPriority w:val="9"/>
    <w:rPr>
      <w:rFonts w:cs="Arial"/>
      <w:bCs/>
      <w:lang w:val="ro-RO" w:bidi="ne-NP"/>
    </w:rPr>
  </w:style>
  <w:style w:type="character" w:customStyle="1" w:styleId="Heading4Char">
    <w:name w:val="Heading 4 Char"/>
    <w:basedOn w:val="DefaultParagraphFont"/>
    <w:link w:val="Heading4"/>
    <w:rPr>
      <w:bCs/>
      <w:lang w:val="ro-RO" w:bidi="ne-NP"/>
    </w:rPr>
  </w:style>
  <w:style w:type="character" w:customStyle="1" w:styleId="TextCharChar">
    <w:name w:val="Text Char Char"/>
    <w:basedOn w:val="DefaultParagraphFont"/>
    <w:link w:val="Text"/>
    <w:semiHidden/>
    <w:rPr>
      <w:lang w:val="ro-RO" w:bidi="ne-NP"/>
    </w:rPr>
  </w:style>
  <w:style w:type="paragraph" w:customStyle="1" w:styleId="Text">
    <w:name w:val="Text"/>
    <w:basedOn w:val="Normal"/>
    <w:link w:val="TextCharChar"/>
    <w:semiHidden/>
    <w:pPr>
      <w:numPr>
        <w:numId w:val="4"/>
      </w:numPr>
    </w:pPr>
    <w:rPr>
      <w:lang w:bidi="ne-NP"/>
    </w:rPr>
  </w:style>
  <w:style w:type="paragraph" w:styleId="Header">
    <w:name w:val="header"/>
    <w:basedOn w:val="Normal"/>
    <w:link w:val="HeaderChar"/>
    <w:uiPriority w:val="99"/>
    <w:unhideWhenUsed/>
    <w:pPr>
      <w:tabs>
        <w:tab w:val="center" w:pos="4320"/>
        <w:tab w:val="right" w:pos="8640"/>
      </w:tabs>
      <w:spacing w:after="0" w:line="240" w:lineRule="auto"/>
    </w:pPr>
  </w:style>
  <w:style w:type="character" w:customStyle="1" w:styleId="HeaderChar">
    <w:name w:val="Header Char"/>
    <w:basedOn w:val="DefaultParagraphFont"/>
    <w:link w:val="Header"/>
    <w:uiPriority w:val="99"/>
    <w:rPr>
      <w:lang w:val="ro-RO"/>
    </w:rPr>
  </w:style>
  <w:style w:type="paragraph" w:styleId="Footer">
    <w:name w:val="footer"/>
    <w:basedOn w:val="FootnoteText"/>
    <w:unhideWhenUsed/>
    <w:pPr>
      <w:ind w:left="0" w:firstLine="0"/>
    </w:pPr>
    <w:rPr>
      <w:szCs w:val="14"/>
    </w:rPr>
  </w:style>
  <w:style w:type="paragraph" w:styleId="FootnoteText">
    <w:name w:val="footnote text"/>
    <w:aliases w:val="Fußnotentextf,Podrozdział,Footnote Text Char Char,Fußnote,Footnote text,Footnote,Fußnote Char Char Char,Fußnote Char Char,Fußnote Char Char Char Char Char Char,Fußnote Char Char Char Char,-E Fußnotentext,footnote text,~FootnoteText"/>
    <w:basedOn w:val="Normal"/>
    <w:link w:val="FootnoteTextChar"/>
    <w:uiPriority w:val="99"/>
    <w:unhideWhenUsed/>
    <w:qFormat/>
    <w:pPr>
      <w:keepLines/>
      <w:tabs>
        <w:tab w:val="left" w:pos="227"/>
        <w:tab w:val="left" w:pos="340"/>
      </w:tabs>
      <w:spacing w:before="60" w:after="60" w:line="240" w:lineRule="auto"/>
      <w:ind w:left="227" w:hanging="227"/>
    </w:pPr>
    <w:rPr>
      <w:color w:val="262626"/>
      <w:sz w:val="18"/>
      <w:szCs w:val="18"/>
    </w:rPr>
  </w:style>
  <w:style w:type="character" w:customStyle="1" w:styleId="FootnoteTextChar">
    <w:name w:val="Footnote Text Char"/>
    <w:aliases w:val="Fußnotentextf Char,Podrozdział Char,Footnote Text Char Char Char,Fußnote Char,Footnote text Char,Footnote Char,Fußnote Char Char Char Char1,Fußnote Char Char Char1,Fußnote Char Char Char Char Char Char Char,-E Fußnotentext Char"/>
    <w:basedOn w:val="DefaultParagraphFont"/>
    <w:link w:val="FootnoteText"/>
    <w:uiPriority w:val="99"/>
    <w:rPr>
      <w:color w:val="262626"/>
      <w:sz w:val="18"/>
      <w:szCs w:val="18"/>
      <w:lang w:val="en-GB"/>
    </w:rPr>
  </w:style>
  <w:style w:type="character" w:styleId="FootnoteReference">
    <w:name w:val="footnote reference"/>
    <w:aliases w:val="number,SUPERS,Footnote Reference Superscript,stylish,Footnote symbol,Footnote number,-E Fußnotenzeichen,(Diplomarbeit FZ),(Diplomarbeit FZ)1,(Diplomarbeit FZ)2,(Diplomarbeit FZ)3,(Diplomarbeit FZ)4,(Diplomarbeit FZ)5,16 Point"/>
    <w:basedOn w:val="DefaultParagraphFont"/>
    <w:uiPriority w:val="99"/>
    <w:rPr>
      <w:rFonts w:ascii="Trebuchet MS" w:hAnsi="Trebuchet MS"/>
      <w:color w:val="auto"/>
      <w:sz w:val="22"/>
      <w:vertAlign w:val="superscript"/>
    </w:rPr>
  </w:style>
  <w:style w:type="paragraph" w:customStyle="1" w:styleId="Bulleted">
    <w:name w:val="Bulleted"/>
    <w:basedOn w:val="Normal"/>
    <w:pPr>
      <w:numPr>
        <w:numId w:val="1"/>
      </w:numPr>
    </w:pPr>
  </w:style>
  <w:style w:type="paragraph" w:styleId="Date">
    <w:name w:val="Date"/>
    <w:basedOn w:val="Normal"/>
    <w:next w:val="Normal"/>
    <w:link w:val="DateChar"/>
    <w:semiHidden/>
    <w:locked/>
    <w:pPr>
      <w:spacing w:after="0"/>
      <w:jc w:val="right"/>
    </w:pPr>
    <w:rPr>
      <w:bCs/>
      <w:sz w:val="18"/>
      <w:szCs w:val="18"/>
      <w:lang w:bidi="ne-NP"/>
    </w:rPr>
  </w:style>
  <w:style w:type="character" w:customStyle="1" w:styleId="DateChar">
    <w:name w:val="Date Char"/>
    <w:basedOn w:val="DefaultParagraphFont"/>
    <w:link w:val="Date"/>
    <w:semiHidden/>
    <w:rPr>
      <w:bCs/>
      <w:sz w:val="18"/>
      <w:szCs w:val="18"/>
      <w:lang w:val="ro-RO" w:bidi="ne-NP"/>
    </w:rPr>
  </w:style>
  <w:style w:type="paragraph" w:styleId="Title">
    <w:name w:val="Title"/>
    <w:basedOn w:val="Normal"/>
    <w:next w:val="Subtitle"/>
    <w:link w:val="TitleChar"/>
    <w:qFormat/>
    <w:pPr>
      <w:keepNext/>
      <w:pageBreakBefore/>
      <w:spacing w:before="960" w:after="960"/>
    </w:pPr>
    <w:rPr>
      <w:b/>
      <w:caps/>
      <w:sz w:val="36"/>
      <w:szCs w:val="28"/>
    </w:rPr>
  </w:style>
  <w:style w:type="paragraph" w:styleId="Subtitle">
    <w:name w:val="Subtitle"/>
    <w:basedOn w:val="Title"/>
    <w:next w:val="Date"/>
    <w:link w:val="SubtitleChar"/>
    <w:pPr>
      <w:pageBreakBefore w:val="0"/>
      <w:spacing w:before="320" w:after="320"/>
      <w:ind w:right="1134"/>
    </w:pPr>
    <w:rPr>
      <w:bCs/>
      <w:sz w:val="22"/>
      <w:szCs w:val="24"/>
    </w:rPr>
  </w:style>
  <w:style w:type="character" w:customStyle="1" w:styleId="SubtitleChar">
    <w:name w:val="Subtitle Char"/>
    <w:basedOn w:val="DefaultParagraphFont"/>
    <w:link w:val="Subtitle"/>
    <w:rPr>
      <w:b/>
      <w:bCs/>
      <w:caps/>
      <w:sz w:val="22"/>
      <w:szCs w:val="24"/>
      <w:lang w:val="ro-RO"/>
    </w:rPr>
  </w:style>
  <w:style w:type="character" w:customStyle="1" w:styleId="TitleChar">
    <w:name w:val="Title Char"/>
    <w:basedOn w:val="DefaultParagraphFont"/>
    <w:link w:val="Title"/>
    <w:rPr>
      <w:b/>
      <w:caps/>
      <w:sz w:val="36"/>
      <w:szCs w:val="28"/>
      <w:lang w:val="ro-RO"/>
    </w:rPr>
  </w:style>
  <w:style w:type="paragraph" w:styleId="BlockText">
    <w:name w:val="Block Text"/>
    <w:basedOn w:val="Normal"/>
    <w:unhideWhenUsed/>
    <w:pPr>
      <w:pBdr>
        <w:top w:val="single" w:sz="2" w:space="10" w:color="7F7F7F"/>
        <w:bottom w:val="single" w:sz="2" w:space="10" w:color="7F7F7F"/>
      </w:pBdr>
      <w:spacing w:before="240" w:after="80"/>
      <w:ind w:left="1701" w:right="1134"/>
    </w:pPr>
    <w:rPr>
      <w:rFonts w:eastAsia="MS Mincho"/>
      <w:b/>
      <w:i/>
      <w:iCs/>
      <w:color w:val="E3001B"/>
      <w:lang w:eastAsia="ro-RO"/>
    </w:rPr>
  </w:style>
  <w:style w:type="paragraph" w:styleId="TOC1">
    <w:name w:val="toc 1"/>
    <w:basedOn w:val="Normal"/>
    <w:next w:val="Normal"/>
    <w:autoRedefine/>
    <w:uiPriority w:val="39"/>
    <w:semiHidden/>
    <w:pPr>
      <w:tabs>
        <w:tab w:val="right" w:leader="dot" w:pos="9072"/>
      </w:tabs>
      <w:spacing w:before="240"/>
      <w:ind w:left="567" w:hanging="567"/>
      <w:contextualSpacing/>
    </w:pPr>
    <w:rPr>
      <w:b/>
      <w:noProof/>
      <w:lang w:bidi="ne-NP"/>
    </w:rPr>
  </w:style>
  <w:style w:type="paragraph" w:styleId="TOC2">
    <w:name w:val="toc 2"/>
    <w:basedOn w:val="Normal"/>
    <w:next w:val="Normal"/>
    <w:autoRedefine/>
    <w:uiPriority w:val="39"/>
    <w:semiHidden/>
    <w:pPr>
      <w:tabs>
        <w:tab w:val="right" w:leader="dot" w:pos="7655"/>
      </w:tabs>
      <w:ind w:left="1134" w:hanging="567"/>
      <w:contextualSpacing/>
    </w:pPr>
    <w:rPr>
      <w:noProof/>
      <w:lang w:bidi="ne-NP"/>
    </w:rPr>
  </w:style>
  <w:style w:type="paragraph" w:styleId="TOC3">
    <w:name w:val="toc 3"/>
    <w:basedOn w:val="Normal"/>
    <w:next w:val="Normal"/>
    <w:autoRedefine/>
    <w:uiPriority w:val="39"/>
    <w:semiHidden/>
    <w:pPr>
      <w:tabs>
        <w:tab w:val="left" w:pos="1200"/>
        <w:tab w:val="right" w:leader="dot" w:pos="7655"/>
      </w:tabs>
      <w:ind w:left="1134" w:hanging="567"/>
      <w:contextualSpacing/>
    </w:pPr>
    <w:rPr>
      <w:noProof/>
      <w:sz w:val="21"/>
      <w:lang w:bidi="ne-NP"/>
    </w:rPr>
  </w:style>
  <w:style w:type="paragraph" w:styleId="TOC4">
    <w:name w:val="toc 4"/>
    <w:basedOn w:val="Normal"/>
    <w:next w:val="Normal"/>
    <w:autoRedefine/>
    <w:uiPriority w:val="39"/>
    <w:semiHidden/>
    <w:pPr>
      <w:tabs>
        <w:tab w:val="left" w:pos="1701"/>
        <w:tab w:val="right" w:leader="dot" w:pos="7655"/>
      </w:tabs>
      <w:ind w:left="1134"/>
    </w:pPr>
    <w:rPr>
      <w:noProof/>
      <w:sz w:val="21"/>
    </w:rPr>
  </w:style>
  <w:style w:type="paragraph" w:styleId="List">
    <w:name w:val="List"/>
    <w:basedOn w:val="Normal"/>
    <w:semiHidden/>
    <w:pPr>
      <w:numPr>
        <w:ilvl w:val="2"/>
        <w:numId w:val="4"/>
      </w:numPr>
    </w:pPr>
  </w:style>
  <w:style w:type="paragraph" w:styleId="TOC5">
    <w:name w:val="toc 5"/>
    <w:basedOn w:val="Normal"/>
    <w:next w:val="Normal"/>
    <w:autoRedefine/>
    <w:semiHidden/>
    <w:pPr>
      <w:ind w:left="960"/>
    </w:pPr>
    <w:rPr>
      <w:rFonts w:ascii="Times New Roman" w:hAnsi="Times New Roman"/>
      <w:sz w:val="24"/>
    </w:rPr>
  </w:style>
  <w:style w:type="paragraph" w:styleId="TOC6">
    <w:name w:val="toc 6"/>
    <w:basedOn w:val="Normal"/>
    <w:next w:val="Normal"/>
    <w:autoRedefine/>
    <w:semiHidden/>
    <w:pPr>
      <w:ind w:left="1200"/>
    </w:pPr>
    <w:rPr>
      <w:rFonts w:ascii="Times New Roman" w:hAnsi="Times New Roman"/>
      <w:sz w:val="24"/>
    </w:rPr>
  </w:style>
  <w:style w:type="paragraph" w:styleId="TOC7">
    <w:name w:val="toc 7"/>
    <w:basedOn w:val="Normal"/>
    <w:next w:val="Normal"/>
    <w:autoRedefine/>
    <w:semiHidden/>
    <w:pPr>
      <w:ind w:left="1440"/>
    </w:pPr>
    <w:rPr>
      <w:rFonts w:ascii="Times New Roman" w:hAnsi="Times New Roman"/>
      <w:sz w:val="24"/>
    </w:rPr>
  </w:style>
  <w:style w:type="paragraph" w:styleId="TOC8">
    <w:name w:val="toc 8"/>
    <w:basedOn w:val="Normal"/>
    <w:next w:val="Normal"/>
    <w:autoRedefine/>
    <w:semiHidden/>
    <w:pPr>
      <w:ind w:left="1680"/>
    </w:pPr>
    <w:rPr>
      <w:rFonts w:ascii="Times New Roman" w:hAnsi="Times New Roman"/>
      <w:sz w:val="24"/>
    </w:rPr>
  </w:style>
  <w:style w:type="paragraph" w:styleId="TOC9">
    <w:name w:val="toc 9"/>
    <w:basedOn w:val="Normal"/>
    <w:next w:val="Normal"/>
    <w:autoRedefine/>
    <w:semiHidden/>
    <w:pPr>
      <w:ind w:left="1920"/>
    </w:pPr>
    <w:rPr>
      <w:rFonts w:ascii="Times New Roman" w:hAnsi="Times New Roman"/>
      <w:sz w:val="24"/>
    </w:rPr>
  </w:style>
  <w:style w:type="paragraph" w:customStyle="1" w:styleId="AntetTA">
    <w:name w:val="Antet T&amp;A"/>
    <w:semiHidden/>
    <w:pPr>
      <w:tabs>
        <w:tab w:val="left" w:pos="567"/>
        <w:tab w:val="center" w:pos="4320"/>
        <w:tab w:val="right" w:pos="8640"/>
      </w:tabs>
      <w:spacing w:line="280" w:lineRule="exact"/>
    </w:pPr>
    <w:rPr>
      <w:sz w:val="14"/>
      <w:szCs w:val="14"/>
      <w:lang w:val="ro-RO"/>
    </w:rPr>
  </w:style>
  <w:style w:type="paragraph" w:styleId="List2">
    <w:name w:val="List 2"/>
    <w:basedOn w:val="List"/>
    <w:semiHidden/>
    <w:pPr>
      <w:numPr>
        <w:ilvl w:val="0"/>
        <w:numId w:val="0"/>
      </w:numPr>
    </w:pPr>
  </w:style>
  <w:style w:type="paragraph" w:styleId="BodyText">
    <w:name w:val="Body Text"/>
    <w:basedOn w:val="Normal"/>
    <w:link w:val="BodyTextChar"/>
    <w:semiHidden/>
    <w:locked/>
  </w:style>
  <w:style w:type="character" w:customStyle="1" w:styleId="BodyTextChar">
    <w:name w:val="Body Text Char"/>
    <w:basedOn w:val="DefaultParagraphFont"/>
    <w:link w:val="BodyText"/>
    <w:semiHidden/>
    <w:rPr>
      <w:rFonts w:ascii="Frutiger Linotype" w:hAnsi="Frutiger Linotype"/>
      <w:szCs w:val="22"/>
    </w:rPr>
  </w:style>
  <w:style w:type="paragraph" w:customStyle="1" w:styleId="Liniuta">
    <w:name w:val="Liniuta"/>
    <w:basedOn w:val="Normal"/>
    <w:semiHidden/>
    <w:locked/>
    <w:pPr>
      <w:numPr>
        <w:numId w:val="3"/>
      </w:numPr>
    </w:pPr>
  </w:style>
  <w:style w:type="table" w:styleId="TableGrid">
    <w:name w:val="Table Grid"/>
    <w:basedOn w:val="TableNormal"/>
    <w:pPr>
      <w:spacing w:after="0" w:line="240" w:lineRule="auto"/>
      <w:jc w:val="left"/>
    </w:pPr>
    <w:rPr>
      <w:rFonts w:eastAsia="Cambria"/>
      <w:lang w:val="ro-RO" w:eastAsia="ro-RO"/>
    </w:rPr>
    <w:tblPr>
      <w:tblBorders>
        <w:top w:val="single" w:sz="4" w:space="0" w:color="E3001B" w:themeColor="accent2"/>
        <w:left w:val="single" w:sz="4" w:space="0" w:color="E3001B" w:themeColor="accent2"/>
        <w:bottom w:val="single" w:sz="4" w:space="0" w:color="E3001B" w:themeColor="accent2"/>
        <w:right w:val="single" w:sz="4" w:space="0" w:color="E3001B" w:themeColor="accent2"/>
        <w:insideH w:val="single" w:sz="4" w:space="0" w:color="E3001B" w:themeColor="accent2"/>
        <w:insideV w:val="single" w:sz="4" w:space="0" w:color="E3001B" w:themeColor="accent2"/>
      </w:tblBorders>
      <w:tblCellMar>
        <w:top w:w="57" w:type="dxa"/>
        <w:left w:w="57" w:type="dxa"/>
        <w:bottom w:w="57" w:type="dxa"/>
        <w:right w:w="57" w:type="dxa"/>
      </w:tblCellMar>
    </w:tblPr>
    <w:tblStylePr w:type="firstRow">
      <w:rPr>
        <w:rFonts w:ascii="Lucida Grande" w:hAnsi="Lucida Grande"/>
        <w:sz w:val="20"/>
      </w:rPr>
    </w:tblStylePr>
  </w:style>
  <w:style w:type="character" w:styleId="Hyperlink">
    <w:name w:val="Hyperlink"/>
    <w:basedOn w:val="DefaultParagraphFont"/>
    <w:uiPriority w:val="99"/>
    <w:unhideWhenUsed/>
    <w:rPr>
      <w:rFonts w:ascii="Trebuchet MS" w:hAnsi="Trebuchet MS"/>
      <w:i/>
      <w:color w:val="E3001B"/>
      <w:sz w:val="18"/>
      <w:u w:val="single"/>
    </w:rPr>
  </w:style>
  <w:style w:type="character" w:styleId="Strong">
    <w:name w:val="Strong"/>
    <w:basedOn w:val="DefaultParagraphFont"/>
    <w:uiPriority w:val="22"/>
    <w:qFormat/>
    <w:locked/>
    <w:rPr>
      <w:rFonts w:ascii="Trebuchet MS" w:hAnsi="Trebuchet MS"/>
      <w:b/>
      <w:bCs/>
    </w:rPr>
  </w:style>
  <w:style w:type="paragraph" w:styleId="CommentText">
    <w:name w:val="annotation text"/>
    <w:basedOn w:val="Normal"/>
    <w:link w:val="CommentTextChar"/>
    <w:semiHidden/>
    <w:pPr>
      <w:spacing w:line="240" w:lineRule="auto"/>
    </w:pPr>
  </w:style>
  <w:style w:type="character" w:customStyle="1" w:styleId="CommentTextChar">
    <w:name w:val="Comment Text Char"/>
    <w:basedOn w:val="DefaultParagraphFont"/>
    <w:link w:val="CommentText"/>
    <w:semiHidden/>
    <w:rPr>
      <w:rFonts w:ascii="Frutiger Linotype" w:hAnsi="Frutiger Linotype"/>
    </w:rPr>
  </w:style>
  <w:style w:type="character" w:styleId="Emphasis">
    <w:name w:val="Emphasis"/>
    <w:basedOn w:val="DefaultParagraphFont"/>
    <w:semiHidden/>
    <w:qFormat/>
    <w:locked/>
    <w:rPr>
      <w:rFonts w:ascii="Frutiger Linotype" w:hAnsi="Frutiger Linotype"/>
      <w:b/>
      <w:iCs/>
      <w:dstrike w:val="0"/>
      <w:sz w:val="22"/>
      <w:vertAlign w:val="baseline"/>
    </w:rPr>
  </w:style>
  <w:style w:type="paragraph" w:styleId="BalloonText">
    <w:name w:val="Balloon Text"/>
    <w:basedOn w:val="Normal"/>
    <w:link w:val="BalloonTextChar"/>
    <w:semiHidden/>
    <w:pPr>
      <w:spacing w:after="0" w:line="240" w:lineRule="auto"/>
    </w:pPr>
    <w:rPr>
      <w:rFonts w:ascii="Tahoma" w:hAnsi="Tahoma" w:cs="Tahoma"/>
      <w:szCs w:val="16"/>
    </w:rPr>
  </w:style>
  <w:style w:type="character" w:customStyle="1" w:styleId="BalloonTextChar">
    <w:name w:val="Balloon Text Char"/>
    <w:basedOn w:val="DefaultParagraphFont"/>
    <w:link w:val="BalloonText"/>
    <w:semiHidden/>
    <w:rPr>
      <w:rFonts w:ascii="Tahoma" w:hAnsi="Tahoma" w:cs="Tahoma"/>
      <w:szCs w:val="16"/>
    </w:rPr>
  </w:style>
  <w:style w:type="paragraph" w:styleId="ListParagraph">
    <w:name w:val="List Paragraph"/>
    <w:basedOn w:val="Normal"/>
    <w:uiPriority w:val="34"/>
    <w:qFormat/>
    <w:pPr>
      <w:ind w:left="720"/>
      <w:contextualSpacing/>
    </w:pPr>
  </w:style>
  <w:style w:type="paragraph" w:styleId="List3">
    <w:name w:val="List 3"/>
    <w:basedOn w:val="List2"/>
    <w:semiHidden/>
    <w:pPr>
      <w:numPr>
        <w:ilvl w:val="2"/>
      </w:numPr>
    </w:pPr>
  </w:style>
  <w:style w:type="paragraph" w:styleId="TOCHeading">
    <w:name w:val="TOC Heading"/>
    <w:basedOn w:val="Heading1"/>
    <w:uiPriority w:val="39"/>
    <w:semiHidden/>
    <w:qFormat/>
    <w:pPr>
      <w:keepLines/>
      <w:numPr>
        <w:numId w:val="0"/>
      </w:numPr>
      <w:spacing w:before="480"/>
      <w:outlineLvl w:val="9"/>
    </w:pPr>
    <w:rPr>
      <w:rFonts w:cs="Times New Roman"/>
      <w:caps/>
      <w:spacing w:val="-20"/>
      <w:kern w:val="0"/>
      <w:sz w:val="28"/>
      <w:lang w:bidi="ar-SA"/>
    </w:rPr>
  </w:style>
  <w:style w:type="paragraph" w:customStyle="1" w:styleId="Text1">
    <w:name w:val="Text1"/>
    <w:basedOn w:val="Text"/>
    <w:semiHidden/>
    <w:qFormat/>
    <w:pPr>
      <w:numPr>
        <w:ilvl w:val="1"/>
      </w:numPr>
    </w:pPr>
  </w:style>
  <w:style w:type="paragraph" w:customStyle="1" w:styleId="Text2">
    <w:name w:val="Text2"/>
    <w:basedOn w:val="Text"/>
    <w:semiHidden/>
    <w:qFormat/>
    <w:pPr>
      <w:numPr>
        <w:numId w:val="0"/>
      </w:numPr>
      <w:tabs>
        <w:tab w:val="num" w:pos="1701"/>
      </w:tabs>
      <w:ind w:left="1701" w:hanging="567"/>
    </w:pPr>
  </w:style>
  <w:style w:type="paragraph" w:customStyle="1" w:styleId="Text3">
    <w:name w:val="Text3"/>
    <w:basedOn w:val="Text"/>
    <w:semiHidden/>
    <w:qFormat/>
    <w:pPr>
      <w:numPr>
        <w:ilvl w:val="3"/>
      </w:numPr>
    </w:pPr>
  </w:style>
  <w:style w:type="character" w:styleId="PageNumber">
    <w:name w:val="page number"/>
    <w:unhideWhenUsed/>
    <w:rPr>
      <w:rFonts w:ascii="Trebuchet MS" w:hAnsi="Trebuchet MS"/>
      <w:sz w:val="16"/>
    </w:rPr>
  </w:style>
  <w:style w:type="paragraph" w:customStyle="1" w:styleId="Text4">
    <w:name w:val="Text4"/>
    <w:basedOn w:val="Text3"/>
    <w:semiHidden/>
    <w:qFormat/>
    <w:pPr>
      <w:numPr>
        <w:ilvl w:val="4"/>
      </w:numPr>
    </w:pPr>
  </w:style>
  <w:style w:type="paragraph" w:customStyle="1" w:styleId="Party">
    <w:name w:val="Party"/>
    <w:basedOn w:val="Normal"/>
    <w:semiHidden/>
    <w:qFormat/>
    <w:locked/>
    <w:pPr>
      <w:jc w:val="center"/>
    </w:pPr>
    <w:rPr>
      <w:rFonts w:ascii="Trebuchet MS Bold" w:hAnsi="Trebuchet MS Bold"/>
      <w:b/>
    </w:rPr>
  </w:style>
  <w:style w:type="paragraph" w:customStyle="1" w:styleId="Recitals">
    <w:name w:val="Recitals"/>
    <w:basedOn w:val="Normal"/>
    <w:pPr>
      <w:numPr>
        <w:numId w:val="2"/>
      </w:numPr>
    </w:pPr>
  </w:style>
  <w:style w:type="paragraph" w:customStyle="1" w:styleId="Whereas">
    <w:name w:val="Whereas"/>
    <w:basedOn w:val="Normal"/>
    <w:qFormat/>
    <w:pPr>
      <w:keepNext/>
      <w:spacing w:before="360" w:after="240"/>
    </w:pPr>
    <w:rPr>
      <w:b/>
      <w:lang w:val="en-GB"/>
    </w:rPr>
  </w:style>
  <w:style w:type="character" w:styleId="PlaceholderText">
    <w:name w:val="Placeholder Text"/>
    <w:basedOn w:val="DefaultParagraphFont"/>
    <w:uiPriority w:val="99"/>
    <w:locked/>
    <w:rPr>
      <w:rFonts w:ascii="Trebuchet MS" w:hAnsi="Trebuchet MS"/>
      <w:color w:val="auto"/>
      <w:bdr w:val="none" w:sz="0" w:space="0" w:color="auto"/>
      <w:shd w:val="clear" w:color="auto" w:fill="D9D9D9" w:themeFill="background1" w:themeFillShade="D9"/>
    </w:rPr>
  </w:style>
  <w:style w:type="paragraph" w:customStyle="1" w:styleId="FooterTZA">
    <w:name w:val="Footer TZA"/>
    <w:basedOn w:val="Normal"/>
    <w:semiHidden/>
    <w:qFormat/>
    <w:pPr>
      <w:tabs>
        <w:tab w:val="left" w:pos="993"/>
      </w:tabs>
      <w:spacing w:before="120" w:after="0" w:line="200" w:lineRule="exact"/>
      <w:ind w:left="-425"/>
      <w:contextualSpacing/>
      <w:jc w:val="left"/>
    </w:pPr>
    <w:rPr>
      <w:sz w:val="14"/>
      <w:szCs w:val="14"/>
    </w:rPr>
  </w:style>
  <w:style w:type="paragraph" w:customStyle="1" w:styleId="CoverDate">
    <w:name w:val="Cover Date"/>
    <w:basedOn w:val="Date"/>
    <w:next w:val="Normal"/>
    <w:semiHidden/>
    <w:qFormat/>
    <w:locked/>
    <w:pPr>
      <w:jc w:val="left"/>
    </w:pPr>
  </w:style>
  <w:style w:type="paragraph" w:customStyle="1" w:styleId="CoverDocument">
    <w:name w:val="Cover Document"/>
    <w:basedOn w:val="Normal"/>
    <w:next w:val="Normal"/>
    <w:semiHidden/>
    <w:qFormat/>
    <w:locked/>
    <w:pPr>
      <w:spacing w:after="800"/>
      <w:jc w:val="left"/>
    </w:pPr>
    <w:rPr>
      <w:i/>
      <w:color w:val="7F7F7F"/>
      <w:sz w:val="18"/>
    </w:rPr>
  </w:style>
  <w:style w:type="paragraph" w:customStyle="1" w:styleId="CoverSubtitle">
    <w:name w:val="Cover Subtitle"/>
    <w:basedOn w:val="Subtitle"/>
    <w:next w:val="Normal"/>
    <w:semiHidden/>
    <w:qFormat/>
    <w:locked/>
    <w:pPr>
      <w:spacing w:before="480" w:line="360" w:lineRule="auto"/>
      <w:ind w:right="2835"/>
      <w:jc w:val="left"/>
    </w:pPr>
    <w:rPr>
      <w:sz w:val="32"/>
    </w:rPr>
  </w:style>
  <w:style w:type="paragraph" w:customStyle="1" w:styleId="CoverTitle">
    <w:name w:val="Cover Title"/>
    <w:basedOn w:val="Title"/>
    <w:next w:val="CoverSubtitle"/>
    <w:semiHidden/>
    <w:qFormat/>
    <w:locked/>
    <w:pPr>
      <w:pageBreakBefore w:val="0"/>
      <w:spacing w:before="120" w:after="120" w:line="880" w:lineRule="exact"/>
      <w:jc w:val="center"/>
    </w:pPr>
    <w:rPr>
      <w:color w:val="E3001B" w:themeColor="accent2"/>
      <w:sz w:val="72"/>
    </w:rPr>
  </w:style>
  <w:style w:type="paragraph" w:customStyle="1" w:styleId="Document">
    <w:name w:val="Document"/>
    <w:basedOn w:val="CoverDocument"/>
    <w:next w:val="Normal"/>
    <w:semiHidden/>
    <w:qFormat/>
    <w:locked/>
    <w:pPr>
      <w:jc w:val="right"/>
    </w:pPr>
    <w:rPr>
      <w:rFonts w:eastAsia="MS Mincho"/>
    </w:rPr>
  </w:style>
  <w:style w:type="character" w:styleId="FollowedHyperlink">
    <w:name w:val="FollowedHyperlink"/>
    <w:basedOn w:val="DefaultParagraphFont"/>
    <w:uiPriority w:val="99"/>
    <w:unhideWhenUsed/>
    <w:rPr>
      <w:rFonts w:ascii="Trebuchet MS" w:hAnsi="Trebuchet MS"/>
      <w:color w:val="7F7F7F"/>
      <w:u w:val="single"/>
    </w:rPr>
  </w:style>
  <w:style w:type="paragraph" w:customStyle="1" w:styleId="FootnoteTextLevel1">
    <w:name w:val="Footnote Text Level 1"/>
    <w:basedOn w:val="FootnoteText"/>
    <w:semiHidden/>
    <w:qFormat/>
    <w:locked/>
    <w:pPr>
      <w:ind w:firstLine="0"/>
    </w:pPr>
    <w:rPr>
      <w:i/>
    </w:rPr>
  </w:style>
  <w:style w:type="paragraph" w:styleId="Index1">
    <w:name w:val="index 1"/>
    <w:basedOn w:val="Normal"/>
    <w:next w:val="Normal"/>
    <w:autoRedefine/>
    <w:semiHidden/>
    <w:locked/>
    <w:pPr>
      <w:spacing w:after="0" w:line="240" w:lineRule="auto"/>
      <w:ind w:left="200" w:hanging="200"/>
    </w:pPr>
  </w:style>
  <w:style w:type="paragraph" w:styleId="IndexHeading">
    <w:name w:val="index heading"/>
    <w:basedOn w:val="Normal"/>
    <w:next w:val="Index1"/>
    <w:semiHidden/>
    <w:locked/>
    <w:pPr>
      <w:spacing w:after="0"/>
    </w:pPr>
    <w:rPr>
      <w:rFonts w:eastAsia="MS Gothic"/>
      <w:b/>
      <w:bCs/>
    </w:rPr>
  </w:style>
  <w:style w:type="character" w:styleId="IntenseEmphasis">
    <w:name w:val="Intense Emphasis"/>
    <w:basedOn w:val="DefaultParagraphFont"/>
    <w:semiHidden/>
    <w:locked/>
    <w:rPr>
      <w:rFonts w:ascii="Trebuchet MS" w:hAnsi="Trebuchet MS"/>
      <w:b/>
      <w:bCs/>
      <w:i/>
      <w:iCs/>
      <w:color w:val="E3001B"/>
    </w:rPr>
  </w:style>
  <w:style w:type="paragraph" w:styleId="IntenseQuote">
    <w:name w:val="Intense Quote"/>
    <w:basedOn w:val="Normal"/>
    <w:next w:val="Normal"/>
    <w:link w:val="IntenseQuoteChar"/>
    <w:semiHidden/>
    <w:locked/>
    <w:pPr>
      <w:spacing w:before="200" w:after="280"/>
      <w:ind w:left="936" w:right="936"/>
    </w:pPr>
    <w:rPr>
      <w:b/>
      <w:bCs/>
      <w:i/>
      <w:iCs/>
    </w:rPr>
  </w:style>
  <w:style w:type="character" w:customStyle="1" w:styleId="IntenseQuoteChar">
    <w:name w:val="Intense Quote Char"/>
    <w:basedOn w:val="DefaultParagraphFont"/>
    <w:link w:val="IntenseQuote"/>
    <w:semiHidden/>
    <w:rPr>
      <w:b/>
      <w:bCs/>
      <w:i/>
      <w:iCs/>
      <w:lang w:val="ro-RO"/>
    </w:rPr>
  </w:style>
  <w:style w:type="character" w:styleId="IntenseReference">
    <w:name w:val="Intense Reference"/>
    <w:basedOn w:val="DefaultParagraphFont"/>
    <w:semiHidden/>
    <w:locked/>
    <w:rPr>
      <w:rFonts w:ascii="Trebuchet MS" w:hAnsi="Trebuchet MS"/>
      <w:b/>
      <w:bCs/>
      <w:caps w:val="0"/>
      <w:smallCaps/>
      <w:color w:val="7F7F7F"/>
      <w:spacing w:val="5"/>
      <w:u w:val="single"/>
    </w:rPr>
  </w:style>
  <w:style w:type="character" w:styleId="LineNumber">
    <w:name w:val="line number"/>
    <w:basedOn w:val="DefaultParagraphFont"/>
    <w:semiHidden/>
    <w:rPr>
      <w:rFonts w:ascii="Trebuchet MS" w:hAnsi="Trebuchet MS"/>
    </w:rPr>
  </w:style>
  <w:style w:type="paragraph" w:styleId="PlainText">
    <w:name w:val="Plain Text"/>
    <w:basedOn w:val="Normal"/>
    <w:link w:val="PlainTextChar"/>
    <w:semiHidden/>
    <w:locked/>
    <w:pPr>
      <w:spacing w:after="0" w:line="240" w:lineRule="auto"/>
    </w:pPr>
    <w:rPr>
      <w:sz w:val="21"/>
      <w:szCs w:val="21"/>
    </w:rPr>
  </w:style>
  <w:style w:type="character" w:customStyle="1" w:styleId="PlainTextChar">
    <w:name w:val="Plain Text Char"/>
    <w:basedOn w:val="DefaultParagraphFont"/>
    <w:link w:val="PlainText"/>
    <w:semiHidden/>
    <w:rPr>
      <w:sz w:val="21"/>
      <w:szCs w:val="21"/>
      <w:lang w:val="ro-RO"/>
    </w:rPr>
  </w:style>
  <w:style w:type="table" w:customStyle="1" w:styleId="TableShaded">
    <w:name w:val="Table Shaded"/>
    <w:basedOn w:val="TableNormal"/>
    <w:qFormat/>
    <w:pPr>
      <w:spacing w:after="0" w:line="240" w:lineRule="auto"/>
      <w:jc w:val="left"/>
    </w:pPr>
    <w:rPr>
      <w:rFonts w:eastAsia="Cambria"/>
      <w:lang w:val="ro-RO" w:eastAsia="ro-RO"/>
    </w:rPr>
    <w:tblPr>
      <w:tblBorders>
        <w:top w:val="single" w:sz="4" w:space="0" w:color="7F7F7F"/>
        <w:bottom w:val="single" w:sz="4" w:space="0" w:color="7F7F7F"/>
        <w:insideH w:val="single" w:sz="4" w:space="0" w:color="7F7F7F"/>
      </w:tblBorders>
      <w:tblCellMar>
        <w:top w:w="57" w:type="dxa"/>
        <w:bottom w:w="57" w:type="dxa"/>
      </w:tblCellMar>
    </w:tblPr>
    <w:tcPr>
      <w:shd w:val="clear" w:color="auto" w:fill="auto"/>
    </w:tcPr>
    <w:tblStylePr w:type="firstRow">
      <w:rPr>
        <w:rFonts w:ascii="Lucida Grande" w:hAnsi="Lucida Grande"/>
        <w:b/>
        <w:sz w:val="20"/>
      </w:rPr>
      <w:tblPr/>
      <w:tcPr>
        <w:tcBorders>
          <w:top w:val="single" w:sz="4" w:space="0" w:color="7F7F7F"/>
          <w:left w:val="nil"/>
          <w:bottom w:val="single" w:sz="4" w:space="0" w:color="7F7F7F"/>
          <w:right w:val="nil"/>
          <w:insideH w:val="nil"/>
          <w:insideV w:val="nil"/>
          <w:tl2br w:val="nil"/>
          <w:tr2bl w:val="nil"/>
        </w:tcBorders>
        <w:shd w:val="clear" w:color="auto" w:fill="E6E6E6"/>
      </w:tcPr>
    </w:tblStylePr>
  </w:style>
  <w:style w:type="table" w:customStyle="1" w:styleId="TableColor">
    <w:name w:val="Table Color"/>
    <w:basedOn w:val="TableShaded"/>
    <w:qFormat/>
    <w:tblPr>
      <w:tblBorders>
        <w:top w:val="single" w:sz="4" w:space="0" w:color="E3001B" w:themeColor="accent2"/>
        <w:bottom w:val="single" w:sz="4" w:space="0" w:color="E3001B" w:themeColor="accent2"/>
        <w:insideH w:val="single" w:sz="4" w:space="0" w:color="E3001B" w:themeColor="accent2"/>
      </w:tblBorders>
    </w:tblPr>
    <w:tcPr>
      <w:shd w:val="clear" w:color="auto" w:fill="auto"/>
    </w:tcPr>
    <w:tblStylePr w:type="firstRow">
      <w:pPr>
        <w:jc w:val="center"/>
      </w:pPr>
      <w:rPr>
        <w:rFonts w:asciiTheme="majorHAnsi" w:hAnsiTheme="majorHAnsi"/>
        <w:b/>
        <w:caps/>
        <w:smallCaps w:val="0"/>
        <w:color w:val="FFFFFF"/>
        <w:sz w:val="20"/>
      </w:rPr>
      <w:tblPr/>
      <w:tcPr>
        <w:tcBorders>
          <w:top w:val="single" w:sz="4" w:space="0" w:color="7F7F7F"/>
          <w:left w:val="nil"/>
          <w:bottom w:val="single" w:sz="4" w:space="0" w:color="7F7F7F"/>
          <w:right w:val="nil"/>
          <w:insideH w:val="nil"/>
          <w:insideV w:val="nil"/>
          <w:tl2br w:val="nil"/>
          <w:tr2bl w:val="nil"/>
        </w:tcBorders>
        <w:shd w:val="clear" w:color="auto" w:fill="E3001B" w:themeFill="accent2"/>
      </w:tcPr>
    </w:tblStylePr>
  </w:style>
  <w:style w:type="table" w:customStyle="1" w:styleId="TableStrong">
    <w:name w:val="Table Strong"/>
    <w:basedOn w:val="TableColor"/>
    <w:qFormat/>
    <w:tblPr/>
    <w:tcPr>
      <w:shd w:val="clear" w:color="auto" w:fill="auto"/>
    </w:tcPr>
    <w:tblStylePr w:type="firstRow">
      <w:pPr>
        <w:jc w:val="center"/>
      </w:pPr>
      <w:rPr>
        <w:rFonts w:ascii="Lucida Grande" w:hAnsi="Lucida Grande"/>
        <w:b/>
        <w:caps/>
        <w:smallCaps w:val="0"/>
        <w:color w:val="FFFFFF"/>
        <w:sz w:val="20"/>
      </w:rPr>
      <w:tblPr/>
      <w:trPr>
        <w:tblHeader/>
      </w:trPr>
      <w:tcPr>
        <w:tcBorders>
          <w:top w:val="single" w:sz="4" w:space="0" w:color="auto"/>
          <w:left w:val="nil"/>
          <w:bottom w:val="single" w:sz="4" w:space="0" w:color="auto"/>
          <w:right w:val="nil"/>
          <w:insideH w:val="nil"/>
          <w:insideV w:val="nil"/>
          <w:tl2br w:val="nil"/>
          <w:tr2bl w:val="nil"/>
        </w:tcBorders>
        <w:shd w:val="clear" w:color="auto" w:fill="000000"/>
        <w:vAlign w:val="center"/>
      </w:tcPr>
    </w:tblStylePr>
  </w:style>
  <w:style w:type="paragraph" w:customStyle="1" w:styleId="TextNumbered">
    <w:name w:val="Text Numbered"/>
    <w:basedOn w:val="Normal"/>
    <w:qFormat/>
    <w:pPr>
      <w:numPr>
        <w:numId w:val="5"/>
      </w:numPr>
    </w:pPr>
  </w:style>
  <w:style w:type="paragraph" w:customStyle="1" w:styleId="TableTextNumbered">
    <w:name w:val="Table Text Numbered"/>
    <w:basedOn w:val="TextNumbered"/>
    <w:semiHidden/>
    <w:qFormat/>
    <w:pPr>
      <w:numPr>
        <w:numId w:val="0"/>
      </w:numPr>
    </w:pPr>
    <w:rPr>
      <w:rFonts w:eastAsia="MS Mincho"/>
    </w:rPr>
  </w:style>
  <w:style w:type="paragraph" w:customStyle="1" w:styleId="TextNormal">
    <w:name w:val="Text Normal"/>
    <w:basedOn w:val="Normal"/>
    <w:qFormat/>
    <w:rPr>
      <w:rFonts w:eastAsia="MS Mincho"/>
      <w:lang w:bidi="ne-NP"/>
    </w:rPr>
  </w:style>
  <w:style w:type="paragraph" w:customStyle="1" w:styleId="TipDocument">
    <w:name w:val="Tip Document"/>
    <w:basedOn w:val="Normal"/>
    <w:semiHidden/>
    <w:qFormat/>
    <w:locked/>
    <w:pPr>
      <w:spacing w:after="800"/>
      <w:jc w:val="right"/>
    </w:pPr>
    <w:rPr>
      <w:rFonts w:eastAsiaTheme="minorHAnsi"/>
      <w:i/>
      <w:color w:val="7F7F7F" w:themeColor="text1" w:themeTint="80"/>
      <w:sz w:val="18"/>
    </w:rPr>
  </w:style>
  <w:style w:type="paragraph" w:customStyle="1" w:styleId="AnnexTitle">
    <w:name w:val="Annex Title"/>
    <w:basedOn w:val="Title"/>
    <w:next w:val="TextNormal"/>
    <w:pPr>
      <w:numPr>
        <w:numId w:val="6"/>
      </w:numPr>
      <w:spacing w:after="600"/>
      <w:outlineLvl w:val="0"/>
    </w:pPr>
  </w:style>
  <w:style w:type="paragraph" w:customStyle="1" w:styleId="AntetTZA">
    <w:name w:val="Antet TZA"/>
    <w:semiHidden/>
    <w:pPr>
      <w:spacing w:after="0" w:line="360" w:lineRule="auto"/>
      <w:jc w:val="right"/>
    </w:pPr>
    <w:rPr>
      <w:caps/>
      <w:sz w:val="14"/>
      <w:szCs w:val="14"/>
      <w:lang w:val="ro-RO"/>
    </w:rPr>
  </w:style>
  <w:style w:type="paragraph" w:customStyle="1" w:styleId="Annexlevel1">
    <w:name w:val="Annex level 1"/>
    <w:basedOn w:val="Heading1"/>
    <w:next w:val="TextNormal"/>
    <w:pPr>
      <w:widowControl w:val="0"/>
      <w:numPr>
        <w:numId w:val="7"/>
      </w:numPr>
      <w:adjustRightInd w:val="0"/>
      <w:spacing w:after="360" w:line="360" w:lineRule="atLeast"/>
      <w:ind w:right="6"/>
      <w:textAlignment w:val="baseline"/>
      <w:outlineLvl w:val="9"/>
    </w:pPr>
    <w:rPr>
      <w:color w:val="000000"/>
      <w:sz w:val="22"/>
      <w:szCs w:val="22"/>
      <w:lang w:val="en-GB"/>
    </w:rPr>
  </w:style>
  <w:style w:type="paragraph" w:customStyle="1" w:styleId="Annexlevel2">
    <w:name w:val="Annex level 2"/>
    <w:basedOn w:val="Normal"/>
    <w:pPr>
      <w:numPr>
        <w:ilvl w:val="1"/>
        <w:numId w:val="7"/>
      </w:numPr>
    </w:pPr>
    <w:rPr>
      <w:lang w:val="en-US"/>
    </w:rPr>
  </w:style>
  <w:style w:type="paragraph" w:customStyle="1" w:styleId="Annexlevel3">
    <w:name w:val="Annex level 3"/>
    <w:basedOn w:val="Normal"/>
    <w:pPr>
      <w:numPr>
        <w:ilvl w:val="2"/>
        <w:numId w:val="7"/>
      </w:numPr>
    </w:pPr>
    <w:rPr>
      <w:lang w:val="en-US"/>
    </w:rPr>
  </w:style>
  <w:style w:type="paragraph" w:customStyle="1" w:styleId="Annexlevel4">
    <w:name w:val="Annex level 4"/>
    <w:basedOn w:val="Annexlevel3"/>
    <w:pPr>
      <w:numPr>
        <w:ilvl w:val="0"/>
        <w:numId w:val="0"/>
      </w:numPr>
      <w:tabs>
        <w:tab w:val="num" w:pos="1701"/>
      </w:tabs>
      <w:ind w:left="1701" w:hanging="567"/>
    </w:pPr>
  </w:style>
  <w:style w:type="paragraph" w:customStyle="1" w:styleId="Parties">
    <w:name w:val="Parties"/>
    <w:basedOn w:val="ListParagraph"/>
    <w:qFormat/>
    <w:pPr>
      <w:numPr>
        <w:numId w:val="8"/>
      </w:numPr>
      <w:contextualSpacing w:val="0"/>
    </w:pPr>
  </w:style>
  <w:style w:type="paragraph" w:customStyle="1" w:styleId="Indent1">
    <w:name w:val="Indent 1"/>
    <w:basedOn w:val="Normal"/>
    <w:qFormat/>
    <w:pPr>
      <w:keepNext/>
      <w:ind w:left="851"/>
    </w:pPr>
  </w:style>
  <w:style w:type="paragraph" w:customStyle="1" w:styleId="Indent2">
    <w:name w:val="Indent 2"/>
    <w:basedOn w:val="Indent1"/>
    <w:qFormat/>
    <w:pPr>
      <w:ind w:left="1418"/>
    </w:pPr>
  </w:style>
  <w:style w:type="paragraph" w:customStyle="1" w:styleId="List1">
    <w:name w:val="List 1"/>
    <w:basedOn w:val="List"/>
    <w:pPr>
      <w:numPr>
        <w:ilvl w:val="0"/>
        <w:numId w:val="9"/>
      </w:numPr>
      <w:ind w:left="1418" w:hanging="567"/>
    </w:pPr>
  </w:style>
  <w:style w:type="character" w:customStyle="1" w:styleId="HTMLPreformattedChar">
    <w:name w:val="HTML Preformatted Char"/>
    <w:basedOn w:val="DefaultParagraphFont"/>
    <w:link w:val="HTMLPreformatted"/>
    <w:uiPriority w:val="99"/>
    <w:semiHidden/>
    <w:rPr>
      <w:rFonts w:ascii="Courier New" w:eastAsiaTheme="minorEastAsia" w:hAnsi="Courier New" w:cs="Courier New"/>
    </w:rPr>
  </w:style>
  <w:style w:type="paragraph" w:styleId="HTMLPreformatted">
    <w:name w:val="HTML Preformatted"/>
    <w:basedOn w:val="Normal"/>
    <w:link w:val="HTMLPreformattedChar"/>
    <w:uiPriority w:val="99"/>
    <w:semiHidden/>
    <w:unhideWhenUsed/>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heme="minorEastAsia" w:hAnsi="Courier New" w:cs="Courier New"/>
      <w:lang w:val="en-US"/>
    </w:rPr>
  </w:style>
  <w:style w:type="paragraph" w:styleId="Revision">
    <w:name w:val="Revision"/>
    <w:hidden/>
    <w:uiPriority w:val="99"/>
    <w:semiHidden/>
    <w:pPr>
      <w:spacing w:after="0" w:line="240" w:lineRule="auto"/>
      <w:jc w:val="left"/>
    </w:pPr>
    <w:rPr>
      <w:lang w:val="ro-RO"/>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ascii="Frutiger Linotype" w:hAnsi="Frutiger Linotype"/>
      <w:b/>
      <w:bCs/>
      <w:lang w:val="ro-RO"/>
    </w:rPr>
  </w:style>
  <w:style w:type="paragraph" w:styleId="NormalWeb">
    <w:name w:val="Normal (Web)"/>
    <w:basedOn w:val="Normal"/>
    <w:uiPriority w:val="99"/>
    <w:semiHidden/>
    <w:unhideWhenUsed/>
    <w:locked/>
    <w:pPr>
      <w:spacing w:before="100" w:beforeAutospacing="1" w:after="100" w:afterAutospacing="1" w:line="240" w:lineRule="auto"/>
      <w:jc w:val="left"/>
    </w:pPr>
    <w:rPr>
      <w:rFonts w:ascii="Times New Roman" w:hAnsi="Times New Roman"/>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alnttl">
    <w:name w:val="s_aln_ttl"/>
    <w:basedOn w:val="DefaultParagraphFont"/>
  </w:style>
  <w:style w:type="character" w:customStyle="1" w:styleId="apple-converted-space">
    <w:name w:val="apple-converted-space"/>
    <w:basedOn w:val="DefaultParagraphFont"/>
  </w:style>
  <w:style w:type="character" w:customStyle="1" w:styleId="salnbdy">
    <w:name w:val="s_aln_bdy"/>
    <w:basedOn w:val="DefaultParagraphFont"/>
  </w:style>
  <w:style w:type="character" w:customStyle="1" w:styleId="slgi">
    <w:name w:val="s_lgi"/>
    <w:basedOn w:val="DefaultParagraphFont"/>
  </w:style>
  <w:style w:type="character" w:customStyle="1" w:styleId="spar">
    <w:name w:val="s_par"/>
    <w:basedOn w:val="DefaultParagraphFont"/>
  </w:style>
  <w:style w:type="character" w:customStyle="1" w:styleId="sartttl">
    <w:name w:val="s_art_ttl"/>
    <w:basedOn w:val="DefaultParagraphFont"/>
  </w:style>
  <w:style w:type="paragraph" w:customStyle="1" w:styleId="ydpab1dad8emsonormal">
    <w:name w:val="ydpab1dad8emsonormal"/>
    <w:basedOn w:val="Normal"/>
    <w:pPr>
      <w:spacing w:before="100" w:beforeAutospacing="1" w:after="100" w:afterAutospacing="1" w:line="240" w:lineRule="auto"/>
      <w:jc w:val="left"/>
    </w:pPr>
    <w:rPr>
      <w:rFonts w:ascii="Times New Roman" w:hAnsi="Times New Roman"/>
      <w:sz w:val="24"/>
      <w:szCs w:val="24"/>
      <w:lang w:eastAsia="en-GB"/>
    </w:rPr>
  </w:style>
  <w:style w:type="character" w:customStyle="1" w:styleId="ydpab1dad8emsofootnotereference">
    <w:name w:val="ydpab1dad8emsofootnotereferen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19548">
      <w:bodyDiv w:val="1"/>
      <w:marLeft w:val="0"/>
      <w:marRight w:val="0"/>
      <w:marTop w:val="0"/>
      <w:marBottom w:val="0"/>
      <w:divBdr>
        <w:top w:val="none" w:sz="0" w:space="0" w:color="auto"/>
        <w:left w:val="none" w:sz="0" w:space="0" w:color="auto"/>
        <w:bottom w:val="none" w:sz="0" w:space="0" w:color="auto"/>
        <w:right w:val="none" w:sz="0" w:space="0" w:color="auto"/>
      </w:divBdr>
    </w:div>
    <w:div w:id="393820969">
      <w:bodyDiv w:val="1"/>
      <w:marLeft w:val="0"/>
      <w:marRight w:val="0"/>
      <w:marTop w:val="0"/>
      <w:marBottom w:val="0"/>
      <w:divBdr>
        <w:top w:val="none" w:sz="0" w:space="0" w:color="auto"/>
        <w:left w:val="none" w:sz="0" w:space="0" w:color="auto"/>
        <w:bottom w:val="none" w:sz="0" w:space="0" w:color="auto"/>
        <w:right w:val="none" w:sz="0" w:space="0" w:color="auto"/>
      </w:divBdr>
      <w:divsChild>
        <w:div w:id="839349260">
          <w:marLeft w:val="0"/>
          <w:marRight w:val="0"/>
          <w:marTop w:val="0"/>
          <w:marBottom w:val="0"/>
          <w:divBdr>
            <w:top w:val="none" w:sz="0" w:space="0" w:color="auto"/>
            <w:left w:val="none" w:sz="0" w:space="0" w:color="auto"/>
            <w:bottom w:val="none" w:sz="0" w:space="0" w:color="auto"/>
            <w:right w:val="none" w:sz="0" w:space="0" w:color="auto"/>
          </w:divBdr>
        </w:div>
      </w:divsChild>
    </w:div>
    <w:div w:id="429396651">
      <w:bodyDiv w:val="1"/>
      <w:marLeft w:val="0"/>
      <w:marRight w:val="0"/>
      <w:marTop w:val="0"/>
      <w:marBottom w:val="0"/>
      <w:divBdr>
        <w:top w:val="none" w:sz="0" w:space="0" w:color="auto"/>
        <w:left w:val="none" w:sz="0" w:space="0" w:color="auto"/>
        <w:bottom w:val="none" w:sz="0" w:space="0" w:color="auto"/>
        <w:right w:val="none" w:sz="0" w:space="0" w:color="auto"/>
      </w:divBdr>
    </w:div>
    <w:div w:id="571693844">
      <w:bodyDiv w:val="1"/>
      <w:marLeft w:val="0"/>
      <w:marRight w:val="0"/>
      <w:marTop w:val="0"/>
      <w:marBottom w:val="0"/>
      <w:divBdr>
        <w:top w:val="none" w:sz="0" w:space="0" w:color="auto"/>
        <w:left w:val="none" w:sz="0" w:space="0" w:color="auto"/>
        <w:bottom w:val="none" w:sz="0" w:space="0" w:color="auto"/>
        <w:right w:val="none" w:sz="0" w:space="0" w:color="auto"/>
      </w:divBdr>
      <w:divsChild>
        <w:div w:id="1076170090">
          <w:marLeft w:val="0"/>
          <w:marRight w:val="0"/>
          <w:marTop w:val="0"/>
          <w:marBottom w:val="0"/>
          <w:divBdr>
            <w:top w:val="none" w:sz="0" w:space="0" w:color="auto"/>
            <w:left w:val="none" w:sz="0" w:space="0" w:color="auto"/>
            <w:bottom w:val="none" w:sz="0" w:space="0" w:color="auto"/>
            <w:right w:val="none" w:sz="0" w:space="0" w:color="auto"/>
          </w:divBdr>
        </w:div>
      </w:divsChild>
    </w:div>
    <w:div w:id="634140517">
      <w:bodyDiv w:val="1"/>
      <w:marLeft w:val="0"/>
      <w:marRight w:val="0"/>
      <w:marTop w:val="0"/>
      <w:marBottom w:val="0"/>
      <w:divBdr>
        <w:top w:val="none" w:sz="0" w:space="0" w:color="auto"/>
        <w:left w:val="none" w:sz="0" w:space="0" w:color="auto"/>
        <w:bottom w:val="none" w:sz="0" w:space="0" w:color="auto"/>
        <w:right w:val="none" w:sz="0" w:space="0" w:color="auto"/>
      </w:divBdr>
    </w:div>
    <w:div w:id="1024865823">
      <w:bodyDiv w:val="1"/>
      <w:marLeft w:val="0"/>
      <w:marRight w:val="0"/>
      <w:marTop w:val="0"/>
      <w:marBottom w:val="0"/>
      <w:divBdr>
        <w:top w:val="none" w:sz="0" w:space="0" w:color="auto"/>
        <w:left w:val="none" w:sz="0" w:space="0" w:color="auto"/>
        <w:bottom w:val="none" w:sz="0" w:space="0" w:color="auto"/>
        <w:right w:val="none" w:sz="0" w:space="0" w:color="auto"/>
      </w:divBdr>
    </w:div>
    <w:div w:id="1112750181">
      <w:bodyDiv w:val="1"/>
      <w:marLeft w:val="0"/>
      <w:marRight w:val="0"/>
      <w:marTop w:val="0"/>
      <w:marBottom w:val="0"/>
      <w:divBdr>
        <w:top w:val="none" w:sz="0" w:space="0" w:color="auto"/>
        <w:left w:val="none" w:sz="0" w:space="0" w:color="auto"/>
        <w:bottom w:val="none" w:sz="0" w:space="0" w:color="auto"/>
        <w:right w:val="none" w:sz="0" w:space="0" w:color="auto"/>
      </w:divBdr>
    </w:div>
    <w:div w:id="1148860931">
      <w:bodyDiv w:val="1"/>
      <w:marLeft w:val="0"/>
      <w:marRight w:val="0"/>
      <w:marTop w:val="0"/>
      <w:marBottom w:val="0"/>
      <w:divBdr>
        <w:top w:val="none" w:sz="0" w:space="0" w:color="auto"/>
        <w:left w:val="none" w:sz="0" w:space="0" w:color="auto"/>
        <w:bottom w:val="none" w:sz="0" w:space="0" w:color="auto"/>
        <w:right w:val="none" w:sz="0" w:space="0" w:color="auto"/>
      </w:divBdr>
    </w:div>
    <w:div w:id="1229654966">
      <w:bodyDiv w:val="1"/>
      <w:marLeft w:val="0"/>
      <w:marRight w:val="0"/>
      <w:marTop w:val="0"/>
      <w:marBottom w:val="0"/>
      <w:divBdr>
        <w:top w:val="none" w:sz="0" w:space="0" w:color="auto"/>
        <w:left w:val="none" w:sz="0" w:space="0" w:color="auto"/>
        <w:bottom w:val="none" w:sz="0" w:space="0" w:color="auto"/>
        <w:right w:val="none" w:sz="0" w:space="0" w:color="auto"/>
      </w:divBdr>
    </w:div>
    <w:div w:id="1308895936">
      <w:bodyDiv w:val="1"/>
      <w:marLeft w:val="0"/>
      <w:marRight w:val="0"/>
      <w:marTop w:val="0"/>
      <w:marBottom w:val="0"/>
      <w:divBdr>
        <w:top w:val="none" w:sz="0" w:space="0" w:color="auto"/>
        <w:left w:val="none" w:sz="0" w:space="0" w:color="auto"/>
        <w:bottom w:val="none" w:sz="0" w:space="0" w:color="auto"/>
        <w:right w:val="none" w:sz="0" w:space="0" w:color="auto"/>
      </w:divBdr>
    </w:div>
    <w:div w:id="1828865181">
      <w:bodyDiv w:val="1"/>
      <w:marLeft w:val="0"/>
      <w:marRight w:val="0"/>
      <w:marTop w:val="0"/>
      <w:marBottom w:val="0"/>
      <w:divBdr>
        <w:top w:val="none" w:sz="0" w:space="0" w:color="auto"/>
        <w:left w:val="none" w:sz="0" w:space="0" w:color="auto"/>
        <w:bottom w:val="none" w:sz="0" w:space="0" w:color="auto"/>
        <w:right w:val="none" w:sz="0" w:space="0" w:color="auto"/>
      </w:divBdr>
      <w:divsChild>
        <w:div w:id="1180316585">
          <w:marLeft w:val="0"/>
          <w:marRight w:val="0"/>
          <w:marTop w:val="0"/>
          <w:marBottom w:val="0"/>
          <w:divBdr>
            <w:top w:val="none" w:sz="0" w:space="0" w:color="auto"/>
            <w:left w:val="none" w:sz="0" w:space="0" w:color="auto"/>
            <w:bottom w:val="none" w:sz="0" w:space="0" w:color="auto"/>
            <w:right w:val="none" w:sz="0" w:space="0" w:color="auto"/>
          </w:divBdr>
        </w:div>
      </w:divsChild>
    </w:div>
    <w:div w:id="1927300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Templates\Antete\TZA\Contract%20simplu%20cu%20antet-r.dotx" TargetMode="External"/></Relationships>
</file>

<file path=word/theme/theme1.xml><?xml version="1.0" encoding="utf-8"?>
<a:theme xmlns:a="http://schemas.openxmlformats.org/drawingml/2006/main" name="Office Theme">
  <a:themeElements>
    <a:clrScheme name="TZA">
      <a:dk1>
        <a:sysClr val="windowText" lastClr="000000"/>
      </a:dk1>
      <a:lt1>
        <a:sysClr val="window" lastClr="FFFFFF"/>
      </a:lt1>
      <a:dk2>
        <a:srgbClr val="3F3F3F"/>
      </a:dk2>
      <a:lt2>
        <a:srgbClr val="EEECE1"/>
      </a:lt2>
      <a:accent1>
        <a:srgbClr val="4F81BD"/>
      </a:accent1>
      <a:accent2>
        <a:srgbClr val="E3001B"/>
      </a:accent2>
      <a:accent3>
        <a:srgbClr val="9BBB59"/>
      </a:accent3>
      <a:accent4>
        <a:srgbClr val="E3001B"/>
      </a:accent4>
      <a:accent5>
        <a:srgbClr val="4BACC6"/>
      </a:accent5>
      <a:accent6>
        <a:srgbClr val="F79646"/>
      </a:accent6>
      <a:hlink>
        <a:srgbClr val="E3001B"/>
      </a:hlink>
      <a:folHlink>
        <a:srgbClr val="7F7F7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72E7A-6090-4C86-88CF-0A6786C38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Contract simplu cu antet-r.dotx</Template>
  <TotalTime>8</TotalTime>
  <Pages>1</Pages>
  <Words>4063</Words>
  <Characters>23161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t-user</cp:lastModifiedBy>
  <cp:revision>10</cp:revision>
  <cp:lastPrinted>2026-05-22T04:27:00Z</cp:lastPrinted>
  <dcterms:created xsi:type="dcterms:W3CDTF">2026-05-20T20:13:00Z</dcterms:created>
  <dcterms:modified xsi:type="dcterms:W3CDTF">2026-05-22T04:27:00Z</dcterms:modified>
</cp:coreProperties>
</file>